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rels/.rels" ContentType="application/vnd.openxmlformats-package.relationships+xml"/>
  <Override PartName="/word/_rels/document.xml.rels" ContentType="application/vnd.openxmlformats-package.relationships+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footer2.xml" ContentType="application/vnd.openxmlformats-officedocument.wordprocessingml.footer+xml"/>
  <Override PartName="/word/media/image1.png" ContentType="image/png"/>
  <Override PartName="/word/media/image2.png" ContentType="image/png"/>
  <Override PartName="/word/media/image3.png" ContentType="image/png"/>
  <Override PartName="/word/media/image4.png" ContentType="image/png"/>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both"/>
        <w:rPr>
          <w:rFonts w:ascii="Arial" w:hAnsi="Arial" w:cs="Arial"/>
          <w:b/>
          <w:bCs/>
        </w:rPr>
      </w:pPr>
      <w:r>
        <w:rPr>
          <w:rFonts w:cs="Arial" w:ascii="Arial" w:hAnsi="Arial"/>
          <w:b/>
          <w:bCs/>
        </w:rPr>
        <w:t>Supplementary material</w:t>
      </w:r>
    </w:p>
    <w:p>
      <w:pPr>
        <w:pStyle w:val="Normal"/>
        <w:jc w:val="both"/>
        <w:rPr>
          <w:rFonts w:ascii="Arial" w:hAnsi="Arial" w:cs="Arial"/>
        </w:rPr>
      </w:pPr>
      <w:r>
        <w:rPr>
          <w:rFonts w:cs="Arial" w:ascii="Arial" w:hAnsi="Arial"/>
          <w:b/>
          <w:bCs/>
        </w:rPr>
        <w:t>Table S1.</w:t>
      </w:r>
      <w:r>
        <w:rPr>
          <w:rFonts w:cs="Arial" w:ascii="Arial" w:hAnsi="Arial"/>
        </w:rPr>
        <w:t xml:space="preserve"> Monthly values of large-scale climate indices, El Niño-Southern Oscillation (ENSO) and Southern Annular Mode (SAM), during the 2021–2022 study period.</w:t>
      </w:r>
    </w:p>
    <w:p>
      <w:pPr>
        <w:pStyle w:val="Normal"/>
        <w:jc w:val="both"/>
        <w:rPr>
          <w:rFonts w:ascii="Arial" w:hAnsi="Arial" w:cs="Arial"/>
        </w:rPr>
      </w:pPr>
      <w:r>
        <w:rPr/>
        <w:drawing>
          <wp:inline distT="0" distB="0" distL="0" distR="0">
            <wp:extent cx="5782945" cy="1642110"/>
            <wp:effectExtent l="0" t="0" r="0" b="0"/>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png"/>
                    <pic:cNvPicPr>
                      <a:picLocks noChangeAspect="1" noChangeArrowheads="1"/>
                    </pic:cNvPicPr>
                  </pic:nvPicPr>
                  <pic:blipFill>
                    <a:blip r:embed="rId2"/>
                    <a:stretch>
                      <a:fillRect/>
                    </a:stretch>
                  </pic:blipFill>
                  <pic:spPr bwMode="auto">
                    <a:xfrm>
                      <a:off x="0" y="0"/>
                      <a:ext cx="5782945" cy="1642110"/>
                    </a:xfrm>
                    <a:prstGeom prst="rect">
                      <a:avLst/>
                    </a:prstGeom>
                    <a:noFill/>
                  </pic:spPr>
                </pic:pic>
              </a:graphicData>
            </a:graphic>
          </wp:inline>
        </w:drawing>
      </w:r>
    </w:p>
    <w:p>
      <w:pPr>
        <w:pStyle w:val="Normal"/>
        <w:jc w:val="both"/>
        <w:rPr>
          <w:rFonts w:ascii="Arial" w:hAnsi="Arial" w:cs="Arial"/>
        </w:rPr>
      </w:pPr>
      <w:r>
        <w:rPr/>
        <w:drawing>
          <wp:inline distT="0" distB="0" distL="0" distR="0">
            <wp:extent cx="5700395" cy="3020060"/>
            <wp:effectExtent l="0" t="0" r="0" b="0"/>
            <wp:docPr id="2"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5.png"/>
                    <pic:cNvPicPr>
                      <a:picLocks noChangeAspect="1" noChangeArrowheads="1"/>
                    </pic:cNvPicPr>
                  </pic:nvPicPr>
                  <pic:blipFill>
                    <a:blip r:embed="rId3"/>
                    <a:stretch>
                      <a:fillRect/>
                    </a:stretch>
                  </pic:blipFill>
                  <pic:spPr bwMode="auto">
                    <a:xfrm>
                      <a:off x="0" y="0"/>
                      <a:ext cx="5700395" cy="3020060"/>
                    </a:xfrm>
                    <a:prstGeom prst="rect">
                      <a:avLst/>
                    </a:prstGeom>
                    <a:noFill/>
                  </pic:spPr>
                </pic:pic>
              </a:graphicData>
            </a:graphic>
          </wp:inline>
        </w:drawing>
      </w:r>
    </w:p>
    <w:p>
      <w:pPr>
        <w:pStyle w:val="Normal"/>
        <w:jc w:val="both"/>
        <w:rPr>
          <w:rFonts w:ascii="Arial" w:hAnsi="Arial" w:cs="Arial"/>
        </w:rPr>
      </w:pPr>
      <w:r>
        <w:rPr>
          <w:rFonts w:cs="Arial" w:ascii="Arial" w:hAnsi="Arial"/>
          <w:b/>
          <w:bCs/>
        </w:rPr>
        <w:t>Figure S1.</w:t>
      </w:r>
      <w:r>
        <w:rPr>
          <w:rFonts w:cs="Arial" w:ascii="Arial" w:hAnsi="Arial"/>
        </w:rPr>
        <w:t xml:space="preserve"> Temporal evolution of </w:t>
      </w:r>
      <w:r>
        <w:rPr>
          <w:rFonts w:cs="Arial" w:ascii="Arial" w:hAnsi="Arial"/>
          <w:i/>
          <w:iCs/>
        </w:rPr>
        <w:t>A. catenella</w:t>
      </w:r>
      <w:r>
        <w:rPr>
          <w:rFonts w:cs="Arial" w:ascii="Arial" w:hAnsi="Arial"/>
        </w:rPr>
        <w:t xml:space="preserve"> abundance and associated PST from January 2021 to April 2022. Black lines and symbols indicate </w:t>
      </w:r>
      <w:r>
        <w:rPr>
          <w:rFonts w:cs="Arial" w:ascii="Arial" w:hAnsi="Arial"/>
          <w:i/>
          <w:iCs/>
        </w:rPr>
        <w:t>A. catenella</w:t>
      </w:r>
      <w:r>
        <w:rPr>
          <w:rFonts w:cs="Arial" w:ascii="Arial" w:hAnsi="Arial"/>
        </w:rPr>
        <w:t xml:space="preserve"> cell abundance measured at station BE (light microscopy), while colored bars represent PST values measured in mussels at stations BE, BF, and PP (HPLC). The left y-axis corresponds to cell abundance (cells L</w:t>
      </w:r>
      <w:r>
        <w:rPr>
          <w:rFonts w:cs="Cambria Math" w:ascii="Cambria Math" w:hAnsi="Cambria Math"/>
        </w:rPr>
        <w:t>⁻</w:t>
      </w:r>
      <w:r>
        <w:rPr>
          <w:rFonts w:cs="Arial" w:ascii="Arial" w:hAnsi="Arial"/>
        </w:rPr>
        <w:t>¹), and the right y-axis corresponds to PST values (µg STXeq kg</w:t>
      </w:r>
      <w:r>
        <w:rPr>
          <w:rFonts w:cs="Cambria Math" w:ascii="Cambria Math" w:hAnsi="Cambria Math"/>
        </w:rPr>
        <w:t>⁻</w:t>
      </w:r>
      <w:r>
        <w:rPr>
          <w:rFonts w:cs="Arial" w:ascii="Arial" w:hAnsi="Arial"/>
        </w:rPr>
        <w:t>¹), scaled for visualization. Shaded areas highlight the austral summer periods (December–March)</w:t>
      </w:r>
      <w:r>
        <w:rPr>
          <w:rFonts w:cs="Arial" w:ascii="Arial" w:hAnsi="Arial"/>
          <w:b/>
          <w:bCs/>
        </w:rPr>
        <w:t xml:space="preserve">. </w:t>
      </w:r>
      <w:r>
        <w:rPr>
          <w:rFonts w:cs="Arial" w:ascii="Arial" w:hAnsi="Arial"/>
        </w:rPr>
        <w:t>Note that PST levels during summer 2020–2021 were one order of magnitude lower than those recorded in summer 2021–2022 and are therefore barely visible at this scale. See Fig.1 for sampling locations.</w:t>
      </w:r>
      <w:r>
        <w:br w:type="page"/>
      </w:r>
    </w:p>
    <w:p>
      <w:pPr>
        <w:pStyle w:val="Normal"/>
        <w:spacing w:before="0" w:after="160"/>
        <w:jc w:val="both"/>
        <w:rPr>
          <w:rFonts w:ascii="Arial" w:hAnsi="Arial" w:cs="Arial"/>
        </w:rPr>
      </w:pPr>
      <w:r>
        <w:rPr>
          <w:rFonts w:cs="Arial" w:ascii="Arial" w:hAnsi="Arial"/>
          <w:b/>
          <w:bCs/>
        </w:rPr>
        <w:t>Table S2</w:t>
      </w:r>
      <w:r>
        <w:rPr>
          <w:rFonts w:cs="Arial" w:ascii="Arial" w:hAnsi="Arial"/>
        </w:rPr>
        <w:t>. Optical characteristics of the water column during the annual time series at the three sampling sites. PAR: surface photosynthetically active radiation (μmol photons m</w:t>
      </w:r>
      <w:r>
        <w:rPr>
          <w:rFonts w:cs="Cambria Math" w:ascii="Cambria Math" w:hAnsi="Cambria Math"/>
        </w:rPr>
        <w:t>⁻</w:t>
      </w:r>
      <w:r>
        <w:rPr>
          <w:rFonts w:cs="Arial" w:ascii="Arial" w:hAnsi="Arial"/>
        </w:rPr>
        <w:t>² s</w:t>
      </w:r>
      <w:r>
        <w:rPr>
          <w:rFonts w:cs="Cambria Math" w:ascii="Cambria Math" w:hAnsi="Cambria Math"/>
        </w:rPr>
        <w:t>⁻</w:t>
      </w:r>
      <w:r>
        <w:rPr>
          <w:rFonts w:cs="Arial" w:ascii="Arial" w:hAnsi="Arial"/>
        </w:rPr>
        <w:t>¹). Kd: diffuse light attenuation coefficient (m</w:t>
      </w:r>
      <w:r>
        <w:rPr>
          <w:rFonts w:cs="Cambria Math" w:ascii="Cambria Math" w:hAnsi="Cambria Math"/>
        </w:rPr>
        <w:t>⁻</w:t>
      </w:r>
      <w:r>
        <w:rPr>
          <w:rFonts w:cs="Arial" w:ascii="Arial" w:hAnsi="Arial"/>
        </w:rPr>
        <w:t>¹). Zeu: euphotic depth (m).</w:t>
      </w:r>
    </w:p>
    <w:tbl>
      <w:tblPr>
        <w:tblW w:w="8400" w:type="dxa"/>
        <w:jc w:val="start"/>
        <w:tblInd w:w="0" w:type="dxa"/>
        <w:tblLayout w:type="fixed"/>
        <w:tblCellMar>
          <w:top w:w="0" w:type="dxa"/>
          <w:start w:w="70" w:type="dxa"/>
          <w:bottom w:w="0" w:type="dxa"/>
          <w:end w:w="70" w:type="dxa"/>
        </w:tblCellMar>
        <w:tblLook w:val="04a0" w:noVBand="1" w:noHBand="0" w:lastColumn="0" w:firstColumn="1" w:lastRow="0" w:firstRow="1"/>
      </w:tblPr>
      <w:tblGrid>
        <w:gridCol w:w="760"/>
        <w:gridCol w:w="940"/>
        <w:gridCol w:w="779"/>
        <w:gridCol w:w="1080"/>
        <w:gridCol w:w="940"/>
        <w:gridCol w:w="761"/>
        <w:gridCol w:w="940"/>
        <w:gridCol w:w="499"/>
        <w:gridCol w:w="901"/>
        <w:gridCol w:w="800"/>
      </w:tblGrid>
      <w:tr>
        <w:trPr>
          <w:trHeight w:val="288" w:hRule="atLeast"/>
        </w:trPr>
        <w:tc>
          <w:tcPr>
            <w:tcW w:w="760" w:type="dxa"/>
            <w:tcBorders>
              <w:bottom w:val="single" w:sz="8" w:space="0" w:color="000000"/>
            </w:tcBorders>
            <w:shd w:color="000000" w:fill="FFFFFF" w:val="clear"/>
            <w:vAlign w:val="bottom"/>
          </w:tcPr>
          <w:p>
            <w:pPr>
              <w:pStyle w:val="Normal"/>
              <w:spacing w:lineRule="auto" w:line="240" w:before="0" w:after="0"/>
              <w:jc w:val="center"/>
              <w:rPr>
                <w:rFonts w:ascii="Aptos Narrow" w:hAnsi="Aptos Narrow" w:eastAsia="Times New Roman" w:cs="Times New Roman"/>
                <w:color w:val="000000"/>
                <w:sz w:val="20"/>
                <w:szCs w:val="20"/>
                <w:lang w:val="es-AR"/>
              </w:rPr>
            </w:pPr>
            <w:r>
              <w:rPr>
                <w:rFonts w:eastAsia="Times New Roman" w:cs="Times New Roman" w:ascii="Aptos Narrow" w:hAnsi="Aptos Narrow"/>
                <w:color w:val="000000"/>
                <w:sz w:val="20"/>
                <w:szCs w:val="20"/>
                <w:lang w:val="es-AR"/>
              </w:rPr>
              <w:t> </w:t>
            </w:r>
          </w:p>
        </w:tc>
        <w:tc>
          <w:tcPr>
            <w:tcW w:w="940" w:type="dxa"/>
            <w:tcBorders>
              <w:bottom w:val="single" w:sz="8" w:space="0" w:color="000000"/>
            </w:tcBorders>
            <w:shd w:color="000000" w:fill="FFFFFF" w:val="clear"/>
            <w:vAlign w:val="bottom"/>
          </w:tcPr>
          <w:p>
            <w:pPr>
              <w:pStyle w:val="Normal"/>
              <w:spacing w:lineRule="auto" w:line="240" w:before="0" w:after="0"/>
              <w:jc w:val="center"/>
              <w:rPr>
                <w:rFonts w:ascii="Aptos Narrow" w:hAnsi="Aptos Narrow" w:eastAsia="Times New Roman" w:cs="Times New Roman"/>
                <w:color w:val="000000"/>
                <w:sz w:val="20"/>
                <w:szCs w:val="20"/>
                <w:lang w:val="es-AR"/>
              </w:rPr>
            </w:pPr>
            <w:r>
              <w:rPr>
                <w:rFonts w:eastAsia="Times New Roman" w:cs="Times New Roman" w:ascii="Aptos Narrow" w:hAnsi="Aptos Narrow"/>
                <w:color w:val="000000"/>
                <w:sz w:val="20"/>
                <w:szCs w:val="20"/>
                <w:lang w:val="es-AR"/>
              </w:rPr>
              <w:t> </w:t>
            </w:r>
          </w:p>
        </w:tc>
        <w:tc>
          <w:tcPr>
            <w:tcW w:w="779" w:type="dxa"/>
            <w:tcBorders>
              <w:bottom w:val="single" w:sz="8" w:space="0" w:color="000000"/>
            </w:tcBorders>
            <w:shd w:color="000000" w:fill="FFFFFF" w:val="clear"/>
            <w:vAlign w:val="bottom"/>
          </w:tcPr>
          <w:p>
            <w:pPr>
              <w:pStyle w:val="Normal"/>
              <w:spacing w:lineRule="auto" w:line="240" w:before="0" w:after="0"/>
              <w:jc w:val="center"/>
              <w:rPr>
                <w:rFonts w:ascii="Aptos Narrow" w:hAnsi="Aptos Narrow" w:eastAsia="Times New Roman" w:cs="Times New Roman"/>
                <w:color w:val="000000"/>
                <w:sz w:val="20"/>
                <w:szCs w:val="20"/>
                <w:lang w:val="es-AR"/>
              </w:rPr>
            </w:pPr>
            <w:r>
              <w:rPr>
                <w:rFonts w:eastAsia="Times New Roman" w:cs="Times New Roman" w:ascii="Aptos Narrow" w:hAnsi="Aptos Narrow"/>
                <w:color w:val="000000"/>
                <w:sz w:val="20"/>
                <w:szCs w:val="20"/>
                <w:lang w:val="es-AR"/>
              </w:rPr>
              <w:t> </w:t>
            </w:r>
          </w:p>
        </w:tc>
        <w:tc>
          <w:tcPr>
            <w:tcW w:w="1080" w:type="dxa"/>
            <w:tcBorders>
              <w:bottom w:val="single" w:sz="8" w:space="0" w:color="000000"/>
            </w:tcBorders>
            <w:shd w:color="000000" w:fill="FFFFFF" w:val="clear"/>
            <w:vAlign w:val="bottom"/>
          </w:tcPr>
          <w:p>
            <w:pPr>
              <w:pStyle w:val="Normal"/>
              <w:spacing w:lineRule="auto" w:line="240" w:before="0" w:after="0"/>
              <w:jc w:val="center"/>
              <w:rPr>
                <w:rFonts w:ascii="Aptos Narrow" w:hAnsi="Aptos Narrow" w:eastAsia="Times New Roman" w:cs="Times New Roman"/>
                <w:color w:val="000000"/>
                <w:sz w:val="20"/>
                <w:szCs w:val="20"/>
                <w:lang w:val="es-AR"/>
              </w:rPr>
            </w:pPr>
            <w:r>
              <w:rPr>
                <w:rFonts w:eastAsia="Times New Roman" w:cs="Times New Roman" w:ascii="Aptos Narrow" w:hAnsi="Aptos Narrow"/>
                <w:color w:val="000000"/>
                <w:sz w:val="20"/>
                <w:szCs w:val="20"/>
                <w:lang w:val="es-AR"/>
              </w:rPr>
              <w:t> </w:t>
            </w:r>
          </w:p>
        </w:tc>
        <w:tc>
          <w:tcPr>
            <w:tcW w:w="940" w:type="dxa"/>
            <w:tcBorders>
              <w:bottom w:val="single" w:sz="8" w:space="0" w:color="000000"/>
            </w:tcBorders>
            <w:shd w:color="000000" w:fill="FFFFFF" w:val="clear"/>
            <w:vAlign w:val="bottom"/>
          </w:tcPr>
          <w:p>
            <w:pPr>
              <w:pStyle w:val="Normal"/>
              <w:spacing w:lineRule="auto" w:line="240" w:before="0" w:after="0"/>
              <w:jc w:val="center"/>
              <w:rPr>
                <w:rFonts w:ascii="Aptos Narrow" w:hAnsi="Aptos Narrow" w:eastAsia="Times New Roman" w:cs="Times New Roman"/>
                <w:color w:val="000000"/>
                <w:sz w:val="20"/>
                <w:szCs w:val="20"/>
                <w:lang w:val="es-AR"/>
              </w:rPr>
            </w:pPr>
            <w:r>
              <w:rPr>
                <w:rFonts w:eastAsia="Times New Roman" w:cs="Times New Roman" w:ascii="Aptos Narrow" w:hAnsi="Aptos Narrow"/>
                <w:color w:val="000000"/>
                <w:sz w:val="20"/>
                <w:szCs w:val="20"/>
                <w:lang w:val="es-AR"/>
              </w:rPr>
              <w:t> </w:t>
            </w:r>
          </w:p>
        </w:tc>
        <w:tc>
          <w:tcPr>
            <w:tcW w:w="761" w:type="dxa"/>
            <w:tcBorders>
              <w:bottom w:val="single" w:sz="8" w:space="0" w:color="000000"/>
            </w:tcBorders>
            <w:shd w:color="000000" w:fill="FFFFFF" w:val="clear"/>
            <w:vAlign w:val="bottom"/>
          </w:tcPr>
          <w:p>
            <w:pPr>
              <w:pStyle w:val="Normal"/>
              <w:spacing w:lineRule="auto" w:line="240" w:before="0" w:after="0"/>
              <w:jc w:val="center"/>
              <w:rPr>
                <w:rFonts w:ascii="Aptos Narrow" w:hAnsi="Aptos Narrow" w:eastAsia="Times New Roman" w:cs="Times New Roman"/>
                <w:color w:val="000000"/>
                <w:sz w:val="20"/>
                <w:szCs w:val="20"/>
                <w:lang w:val="es-AR"/>
              </w:rPr>
            </w:pPr>
            <w:r>
              <w:rPr>
                <w:rFonts w:eastAsia="Times New Roman" w:cs="Times New Roman" w:ascii="Aptos Narrow" w:hAnsi="Aptos Narrow"/>
                <w:color w:val="000000"/>
                <w:sz w:val="20"/>
                <w:szCs w:val="20"/>
                <w:lang w:val="es-AR"/>
              </w:rPr>
              <w:t> </w:t>
            </w:r>
          </w:p>
        </w:tc>
        <w:tc>
          <w:tcPr>
            <w:tcW w:w="940" w:type="dxa"/>
            <w:tcBorders>
              <w:bottom w:val="single" w:sz="8" w:space="0" w:color="000000"/>
            </w:tcBorders>
            <w:shd w:color="000000" w:fill="FFFFFF" w:val="clear"/>
            <w:vAlign w:val="bottom"/>
          </w:tcPr>
          <w:p>
            <w:pPr>
              <w:pStyle w:val="Normal"/>
              <w:spacing w:lineRule="auto" w:line="240" w:before="0" w:after="0"/>
              <w:jc w:val="center"/>
              <w:rPr>
                <w:rFonts w:ascii="Aptos Narrow" w:hAnsi="Aptos Narrow" w:eastAsia="Times New Roman" w:cs="Times New Roman"/>
                <w:color w:val="000000"/>
                <w:sz w:val="20"/>
                <w:szCs w:val="20"/>
                <w:lang w:val="es-AR"/>
              </w:rPr>
            </w:pPr>
            <w:r>
              <w:rPr>
                <w:rFonts w:eastAsia="Times New Roman" w:cs="Times New Roman" w:ascii="Aptos Narrow" w:hAnsi="Aptos Narrow"/>
                <w:color w:val="000000"/>
                <w:sz w:val="20"/>
                <w:szCs w:val="20"/>
                <w:lang w:val="es-AR"/>
              </w:rPr>
              <w:t> </w:t>
            </w:r>
          </w:p>
        </w:tc>
        <w:tc>
          <w:tcPr>
            <w:tcW w:w="499" w:type="dxa"/>
            <w:tcBorders>
              <w:bottom w:val="single" w:sz="8" w:space="0" w:color="000000"/>
            </w:tcBorders>
            <w:shd w:color="000000" w:fill="FFFFFF" w:val="clear"/>
            <w:vAlign w:val="bottom"/>
          </w:tcPr>
          <w:p>
            <w:pPr>
              <w:pStyle w:val="Normal"/>
              <w:spacing w:lineRule="auto" w:line="240" w:before="0" w:after="0"/>
              <w:jc w:val="center"/>
              <w:rPr>
                <w:rFonts w:ascii="Aptos Narrow" w:hAnsi="Aptos Narrow" w:eastAsia="Times New Roman" w:cs="Times New Roman"/>
                <w:color w:val="000000"/>
                <w:sz w:val="20"/>
                <w:szCs w:val="20"/>
                <w:lang w:val="es-AR"/>
              </w:rPr>
            </w:pPr>
            <w:r>
              <w:rPr>
                <w:rFonts w:eastAsia="Times New Roman" w:cs="Times New Roman" w:ascii="Aptos Narrow" w:hAnsi="Aptos Narrow"/>
                <w:color w:val="000000"/>
                <w:sz w:val="20"/>
                <w:szCs w:val="20"/>
                <w:lang w:val="es-AR"/>
              </w:rPr>
              <w:t> </w:t>
            </w:r>
          </w:p>
        </w:tc>
        <w:tc>
          <w:tcPr>
            <w:tcW w:w="901" w:type="dxa"/>
            <w:tcBorders>
              <w:bottom w:val="single" w:sz="8" w:space="0" w:color="000000"/>
            </w:tcBorders>
            <w:shd w:color="000000" w:fill="FFFFFF" w:val="clear"/>
            <w:vAlign w:val="bottom"/>
          </w:tcPr>
          <w:p>
            <w:pPr>
              <w:pStyle w:val="Normal"/>
              <w:spacing w:lineRule="auto" w:line="240" w:before="0" w:after="0"/>
              <w:jc w:val="center"/>
              <w:rPr>
                <w:rFonts w:ascii="Aptos Narrow" w:hAnsi="Aptos Narrow" w:eastAsia="Times New Roman" w:cs="Times New Roman"/>
                <w:color w:val="000000"/>
                <w:sz w:val="20"/>
                <w:szCs w:val="20"/>
                <w:lang w:val="es-AR"/>
              </w:rPr>
            </w:pPr>
            <w:r>
              <w:rPr>
                <w:rFonts w:eastAsia="Times New Roman" w:cs="Times New Roman" w:ascii="Aptos Narrow" w:hAnsi="Aptos Narrow"/>
                <w:color w:val="000000"/>
                <w:sz w:val="20"/>
                <w:szCs w:val="20"/>
                <w:lang w:val="es-AR"/>
              </w:rPr>
              <w:t> </w:t>
            </w:r>
          </w:p>
        </w:tc>
        <w:tc>
          <w:tcPr>
            <w:tcW w:w="800" w:type="dxa"/>
            <w:tcBorders>
              <w:bottom w:val="single" w:sz="8" w:space="0" w:color="000000"/>
            </w:tcBorders>
            <w:shd w:color="000000" w:fill="FFFFFF" w:val="clear"/>
            <w:vAlign w:val="bottom"/>
          </w:tcPr>
          <w:p>
            <w:pPr>
              <w:pStyle w:val="Normal"/>
              <w:spacing w:lineRule="auto" w:line="240" w:before="0" w:after="0"/>
              <w:jc w:val="center"/>
              <w:rPr>
                <w:rFonts w:ascii="Aptos Narrow" w:hAnsi="Aptos Narrow" w:eastAsia="Times New Roman" w:cs="Times New Roman"/>
                <w:color w:val="000000"/>
                <w:sz w:val="20"/>
                <w:szCs w:val="20"/>
                <w:lang w:val="es-AR"/>
              </w:rPr>
            </w:pPr>
            <w:r>
              <w:rPr>
                <w:rFonts w:eastAsia="Times New Roman" w:cs="Times New Roman" w:ascii="Aptos Narrow" w:hAnsi="Aptos Narrow"/>
                <w:color w:val="000000"/>
                <w:sz w:val="20"/>
                <w:szCs w:val="20"/>
                <w:lang w:val="es-AR"/>
              </w:rPr>
              <w:t> </w:t>
            </w:r>
          </w:p>
        </w:tc>
      </w:tr>
      <w:tr>
        <w:trPr>
          <w:trHeight w:val="288" w:hRule="atLeast"/>
        </w:trPr>
        <w:tc>
          <w:tcPr>
            <w:tcW w:w="760" w:type="dxa"/>
            <w:tcBorders>
              <w:bottom w:val="single" w:sz="8" w:space="0" w:color="000000"/>
            </w:tcBorders>
            <w:shd w:color="000000" w:fill="FFFFFF" w:val="clear"/>
            <w:vAlign w:val="center"/>
          </w:tcPr>
          <w:p>
            <w:pPr>
              <w:pStyle w:val="Normal"/>
              <w:spacing w:lineRule="auto" w:line="240" w:before="0" w:after="0"/>
              <w:jc w:val="center"/>
              <w:rPr>
                <w:rFonts w:ascii="Calibri" w:hAnsi="Calibri" w:eastAsia="Times New Roman" w:cs="Calibri"/>
                <w:b/>
                <w:bCs/>
                <w:color w:val="000000"/>
                <w:sz w:val="20"/>
                <w:szCs w:val="20"/>
                <w:lang w:val="es-AR"/>
              </w:rPr>
            </w:pPr>
            <w:r>
              <w:rPr>
                <w:rFonts w:eastAsia="Times New Roman" w:cs="Calibri" w:ascii="Calibri" w:hAnsi="Calibri"/>
                <w:b/>
                <w:bCs/>
                <w:color w:val="000000"/>
                <w:sz w:val="20"/>
                <w:szCs w:val="20"/>
                <w:lang w:val="es-AR"/>
              </w:rPr>
              <w:t> </w:t>
            </w:r>
          </w:p>
        </w:tc>
        <w:tc>
          <w:tcPr>
            <w:tcW w:w="940" w:type="dxa"/>
            <w:tcBorders>
              <w:bottom w:val="single" w:sz="8" w:space="0" w:color="000000"/>
            </w:tcBorders>
            <w:shd w:color="000000" w:fill="FFFFFF" w:val="clear"/>
            <w:vAlign w:val="center"/>
          </w:tcPr>
          <w:p>
            <w:pPr>
              <w:pStyle w:val="Normal"/>
              <w:spacing w:lineRule="auto" w:line="240" w:before="0" w:after="0"/>
              <w:jc w:val="center"/>
              <w:rPr>
                <w:rFonts w:ascii="Calibri" w:hAnsi="Calibri" w:eastAsia="Times New Roman" w:cs="Calibri"/>
                <w:b/>
                <w:bCs/>
                <w:color w:val="000000"/>
                <w:sz w:val="20"/>
                <w:szCs w:val="20"/>
                <w:lang w:val="es-AR"/>
              </w:rPr>
            </w:pPr>
            <w:r>
              <w:rPr>
                <w:rFonts w:eastAsia="Times New Roman" w:cs="Calibri" w:ascii="Calibri" w:hAnsi="Calibri"/>
                <w:b/>
                <w:bCs/>
                <w:color w:val="000000"/>
                <w:sz w:val="20"/>
                <w:szCs w:val="20"/>
                <w:lang w:val="es-AR"/>
              </w:rPr>
              <w:t> </w:t>
            </w:r>
          </w:p>
        </w:tc>
        <w:tc>
          <w:tcPr>
            <w:tcW w:w="779" w:type="dxa"/>
            <w:tcBorders>
              <w:bottom w:val="single" w:sz="8" w:space="0" w:color="000000"/>
            </w:tcBorders>
            <w:shd w:color="000000" w:fill="FFFFFF" w:val="clear"/>
            <w:vAlign w:val="center"/>
          </w:tcPr>
          <w:p>
            <w:pPr>
              <w:pStyle w:val="Normal"/>
              <w:spacing w:lineRule="auto" w:line="240" w:before="0" w:after="0"/>
              <w:jc w:val="center"/>
              <w:rPr>
                <w:rFonts w:ascii="Calibri" w:hAnsi="Calibri" w:eastAsia="Times New Roman" w:cs="Calibri"/>
                <w:b/>
                <w:bCs/>
                <w:color w:val="000000"/>
                <w:sz w:val="20"/>
                <w:szCs w:val="20"/>
                <w:lang w:val="es-AR"/>
              </w:rPr>
            </w:pPr>
            <w:r>
              <w:rPr>
                <w:rFonts w:eastAsia="Times New Roman" w:cs="Calibri" w:ascii="Calibri" w:hAnsi="Calibri"/>
                <w:b/>
                <w:bCs/>
                <w:color w:val="000000"/>
                <w:sz w:val="20"/>
                <w:szCs w:val="20"/>
                <w:lang w:val="es-AR"/>
              </w:rPr>
              <w:t> </w:t>
            </w:r>
          </w:p>
        </w:tc>
        <w:tc>
          <w:tcPr>
            <w:tcW w:w="1080" w:type="dxa"/>
            <w:tcBorders>
              <w:bottom w:val="single" w:sz="8" w:space="0" w:color="000000"/>
            </w:tcBorders>
            <w:shd w:color="000000" w:fill="FFFFFF" w:val="clear"/>
            <w:vAlign w:val="center"/>
          </w:tcPr>
          <w:p>
            <w:pPr>
              <w:pStyle w:val="Normal"/>
              <w:spacing w:lineRule="auto" w:line="240" w:before="0" w:after="0"/>
              <w:jc w:val="center"/>
              <w:rPr>
                <w:rFonts w:ascii="Calibri" w:hAnsi="Calibri" w:eastAsia="Times New Roman" w:cs="Calibri"/>
                <w:b/>
                <w:bCs/>
                <w:color w:val="000000"/>
                <w:sz w:val="20"/>
                <w:szCs w:val="20"/>
                <w:lang w:val="es-AR"/>
              </w:rPr>
            </w:pPr>
            <w:r>
              <w:rPr>
                <w:rFonts w:eastAsia="Times New Roman" w:cs="Calibri" w:ascii="Calibri" w:hAnsi="Calibri"/>
                <w:b/>
                <w:bCs/>
                <w:color w:val="000000"/>
                <w:sz w:val="20"/>
                <w:szCs w:val="20"/>
                <w:lang w:val="es-AR"/>
              </w:rPr>
              <w:t> </w:t>
            </w:r>
          </w:p>
        </w:tc>
        <w:tc>
          <w:tcPr>
            <w:tcW w:w="1701" w:type="dxa"/>
            <w:gridSpan w:val="2"/>
            <w:tcBorders>
              <w:bottom w:val="single" w:sz="8" w:space="0" w:color="000000"/>
            </w:tcBorders>
            <w:shd w:color="000000" w:fill="FFFFFF" w:val="clear"/>
            <w:vAlign w:val="center"/>
          </w:tcPr>
          <w:p>
            <w:pPr>
              <w:pStyle w:val="Normal"/>
              <w:spacing w:lineRule="auto" w:line="240" w:before="0" w:after="0"/>
              <w:jc w:val="center"/>
              <w:rPr>
                <w:rFonts w:ascii="Calibri" w:hAnsi="Calibri" w:eastAsia="Times New Roman" w:cs="Calibri"/>
                <w:b/>
                <w:bCs/>
                <w:color w:val="000000"/>
                <w:sz w:val="20"/>
                <w:szCs w:val="20"/>
                <w:lang w:val="es-AR"/>
              </w:rPr>
            </w:pPr>
            <w:r>
              <w:rPr>
                <w:rFonts w:eastAsia="Times New Roman" w:cs="Calibri" w:ascii="Calibri" w:hAnsi="Calibri"/>
                <w:b/>
                <w:bCs/>
                <w:color w:val="000000"/>
                <w:sz w:val="20"/>
                <w:szCs w:val="20"/>
                <w:lang w:val="es-AR"/>
              </w:rPr>
              <w:t>kd</w:t>
            </w:r>
          </w:p>
        </w:tc>
        <w:tc>
          <w:tcPr>
            <w:tcW w:w="1439" w:type="dxa"/>
            <w:gridSpan w:val="2"/>
            <w:tcBorders>
              <w:bottom w:val="single" w:sz="8" w:space="0" w:color="000000"/>
            </w:tcBorders>
            <w:shd w:color="000000" w:fill="FFFFFF" w:val="clear"/>
            <w:vAlign w:val="center"/>
          </w:tcPr>
          <w:p>
            <w:pPr>
              <w:pStyle w:val="Normal"/>
              <w:spacing w:lineRule="auto" w:line="240" w:before="0" w:after="0"/>
              <w:jc w:val="center"/>
              <w:rPr>
                <w:rFonts w:ascii="Calibri" w:hAnsi="Calibri" w:eastAsia="Times New Roman" w:cs="Calibri"/>
                <w:b/>
                <w:bCs/>
                <w:color w:val="000000"/>
                <w:sz w:val="20"/>
                <w:szCs w:val="20"/>
                <w:lang w:val="es-AR"/>
              </w:rPr>
            </w:pPr>
            <w:r>
              <w:rPr>
                <w:rFonts w:eastAsia="Times New Roman" w:cs="Calibri" w:ascii="Calibri" w:hAnsi="Calibri"/>
                <w:b/>
                <w:bCs/>
                <w:color w:val="000000"/>
                <w:sz w:val="20"/>
                <w:szCs w:val="20"/>
                <w:lang w:val="es-AR"/>
              </w:rPr>
              <w:t>Zeu</w:t>
            </w:r>
          </w:p>
        </w:tc>
        <w:tc>
          <w:tcPr>
            <w:tcW w:w="1701" w:type="dxa"/>
            <w:gridSpan w:val="2"/>
            <w:tcBorders>
              <w:bottom w:val="single" w:sz="8" w:space="0" w:color="000000"/>
            </w:tcBorders>
            <w:shd w:color="000000" w:fill="FFFFFF" w:val="clear"/>
            <w:vAlign w:val="center"/>
          </w:tcPr>
          <w:p>
            <w:pPr>
              <w:pStyle w:val="Normal"/>
              <w:spacing w:lineRule="auto" w:line="240" w:before="0" w:after="0"/>
              <w:jc w:val="center"/>
              <w:rPr>
                <w:rFonts w:ascii="Calibri" w:hAnsi="Calibri" w:eastAsia="Times New Roman" w:cs="Calibri"/>
                <w:b/>
                <w:bCs/>
                <w:color w:val="000000"/>
                <w:sz w:val="20"/>
                <w:szCs w:val="20"/>
                <w:lang w:val="es-AR"/>
              </w:rPr>
            </w:pPr>
            <w:r>
              <w:rPr>
                <w:rFonts w:eastAsia="Times New Roman" w:cs="Calibri" w:ascii="Calibri" w:hAnsi="Calibri"/>
                <w:b/>
                <w:bCs/>
                <w:color w:val="000000"/>
                <w:sz w:val="20"/>
                <w:szCs w:val="20"/>
                <w:lang w:val="es-AR"/>
              </w:rPr>
              <w:t>PAR (surface)</w:t>
            </w:r>
          </w:p>
        </w:tc>
      </w:tr>
      <w:tr>
        <w:trPr>
          <w:trHeight w:val="288" w:hRule="atLeast"/>
        </w:trPr>
        <w:tc>
          <w:tcPr>
            <w:tcW w:w="760" w:type="dxa"/>
            <w:tcBorders>
              <w:bottom w:val="single" w:sz="8" w:space="0" w:color="000000"/>
            </w:tcBorders>
            <w:shd w:color="000000" w:fill="FFFFFF" w:val="clear"/>
            <w:vAlign w:val="center"/>
          </w:tcPr>
          <w:p>
            <w:pPr>
              <w:pStyle w:val="Normal"/>
              <w:spacing w:lineRule="auto" w:line="240" w:before="0" w:after="0"/>
              <w:jc w:val="center"/>
              <w:rPr>
                <w:rFonts w:ascii="Calibri" w:hAnsi="Calibri" w:eastAsia="Times New Roman" w:cs="Calibri"/>
                <w:b/>
                <w:bCs/>
                <w:color w:val="000000"/>
                <w:sz w:val="20"/>
                <w:szCs w:val="20"/>
                <w:lang w:val="es-AR"/>
              </w:rPr>
            </w:pPr>
            <w:r>
              <w:rPr>
                <w:rFonts w:eastAsia="Times New Roman" w:cs="Calibri" w:ascii="Calibri" w:hAnsi="Calibri"/>
                <w:b/>
                <w:bCs/>
                <w:color w:val="000000"/>
                <w:sz w:val="20"/>
                <w:szCs w:val="20"/>
                <w:lang w:val="es-AR"/>
              </w:rPr>
              <w:t>Area</w:t>
            </w:r>
          </w:p>
        </w:tc>
        <w:tc>
          <w:tcPr>
            <w:tcW w:w="940" w:type="dxa"/>
            <w:tcBorders>
              <w:bottom w:val="single" w:sz="8" w:space="0" w:color="000000"/>
            </w:tcBorders>
            <w:shd w:color="000000" w:fill="FFFFFF" w:val="clear"/>
            <w:vAlign w:val="center"/>
          </w:tcPr>
          <w:p>
            <w:pPr>
              <w:pStyle w:val="Normal"/>
              <w:spacing w:lineRule="auto" w:line="240" w:before="0" w:after="0"/>
              <w:jc w:val="center"/>
              <w:rPr>
                <w:rFonts w:ascii="Calibri" w:hAnsi="Calibri" w:eastAsia="Times New Roman" w:cs="Calibri"/>
                <w:b/>
                <w:bCs/>
                <w:color w:val="000000"/>
                <w:sz w:val="20"/>
                <w:szCs w:val="20"/>
                <w:lang w:val="es-AR"/>
              </w:rPr>
            </w:pPr>
            <w:r>
              <w:rPr>
                <w:rFonts w:eastAsia="Times New Roman" w:cs="Calibri" w:ascii="Calibri" w:hAnsi="Calibri"/>
                <w:b/>
                <w:bCs/>
                <w:color w:val="000000"/>
                <w:sz w:val="20"/>
                <w:szCs w:val="20"/>
                <w:lang w:val="es-AR"/>
              </w:rPr>
              <w:t>Year</w:t>
            </w:r>
          </w:p>
        </w:tc>
        <w:tc>
          <w:tcPr>
            <w:tcW w:w="779" w:type="dxa"/>
            <w:tcBorders>
              <w:bottom w:val="single" w:sz="8" w:space="0" w:color="000000"/>
            </w:tcBorders>
            <w:shd w:color="000000" w:fill="FFFFFF" w:val="clear"/>
            <w:vAlign w:val="center"/>
          </w:tcPr>
          <w:p>
            <w:pPr>
              <w:pStyle w:val="Normal"/>
              <w:spacing w:lineRule="auto" w:line="240" w:before="0" w:after="0"/>
              <w:jc w:val="center"/>
              <w:rPr>
                <w:rFonts w:ascii="Calibri" w:hAnsi="Calibri" w:eastAsia="Times New Roman" w:cs="Calibri"/>
                <w:b/>
                <w:bCs/>
                <w:color w:val="000000"/>
                <w:sz w:val="20"/>
                <w:szCs w:val="20"/>
                <w:lang w:val="es-AR"/>
              </w:rPr>
            </w:pPr>
            <w:r>
              <w:rPr>
                <w:rFonts w:eastAsia="Times New Roman" w:cs="Calibri" w:ascii="Calibri" w:hAnsi="Calibri"/>
                <w:b/>
                <w:bCs/>
                <w:color w:val="000000"/>
                <w:sz w:val="20"/>
                <w:szCs w:val="20"/>
                <w:lang w:val="es-AR"/>
              </w:rPr>
              <w:t>Month</w:t>
            </w:r>
          </w:p>
        </w:tc>
        <w:tc>
          <w:tcPr>
            <w:tcW w:w="1080" w:type="dxa"/>
            <w:tcBorders>
              <w:bottom w:val="single" w:sz="8" w:space="0" w:color="000000"/>
            </w:tcBorders>
            <w:shd w:color="000000" w:fill="FFFFFF" w:val="clear"/>
            <w:vAlign w:val="center"/>
          </w:tcPr>
          <w:p>
            <w:pPr>
              <w:pStyle w:val="Normal"/>
              <w:spacing w:lineRule="auto" w:line="240" w:before="0" w:after="0"/>
              <w:jc w:val="center"/>
              <w:rPr>
                <w:rFonts w:ascii="Calibri" w:hAnsi="Calibri" w:eastAsia="Times New Roman" w:cs="Calibri"/>
                <w:b/>
                <w:bCs/>
                <w:color w:val="000000"/>
                <w:sz w:val="20"/>
                <w:szCs w:val="20"/>
                <w:lang w:val="es-AR"/>
              </w:rPr>
            </w:pPr>
            <w:r>
              <w:rPr>
                <w:rFonts w:eastAsia="Times New Roman" w:cs="Calibri" w:ascii="Calibri" w:hAnsi="Calibri"/>
                <w:b/>
                <w:bCs/>
                <w:color w:val="000000"/>
                <w:sz w:val="20"/>
                <w:szCs w:val="20"/>
                <w:lang w:val="es-AR"/>
              </w:rPr>
              <w:t>Season</w:t>
            </w:r>
          </w:p>
        </w:tc>
        <w:tc>
          <w:tcPr>
            <w:tcW w:w="940" w:type="dxa"/>
            <w:tcBorders>
              <w:bottom w:val="single" w:sz="8" w:space="0" w:color="000000"/>
            </w:tcBorders>
            <w:shd w:color="000000" w:fill="FFFFFF" w:val="clear"/>
            <w:vAlign w:val="center"/>
          </w:tcPr>
          <w:p>
            <w:pPr>
              <w:pStyle w:val="Normal"/>
              <w:spacing w:lineRule="auto" w:line="240" w:before="0" w:after="0"/>
              <w:jc w:val="center"/>
              <w:rPr>
                <w:rFonts w:ascii="Calibri" w:hAnsi="Calibri" w:eastAsia="Times New Roman" w:cs="Calibri"/>
                <w:b/>
                <w:bCs/>
                <w:color w:val="000000"/>
                <w:sz w:val="20"/>
                <w:szCs w:val="20"/>
                <w:lang w:val="es-AR"/>
              </w:rPr>
            </w:pPr>
            <w:r>
              <w:rPr>
                <w:rFonts w:eastAsia="Times New Roman" w:cs="Calibri" w:ascii="Calibri" w:hAnsi="Calibri"/>
                <w:b/>
                <w:bCs/>
                <w:color w:val="000000"/>
                <w:sz w:val="20"/>
                <w:szCs w:val="20"/>
                <w:lang w:val="es-AR"/>
              </w:rPr>
              <w:t>mean</w:t>
            </w:r>
          </w:p>
        </w:tc>
        <w:tc>
          <w:tcPr>
            <w:tcW w:w="761" w:type="dxa"/>
            <w:tcBorders>
              <w:bottom w:val="single" w:sz="8" w:space="0" w:color="000000"/>
            </w:tcBorders>
            <w:shd w:color="000000" w:fill="FFFFFF" w:val="clear"/>
            <w:vAlign w:val="center"/>
          </w:tcPr>
          <w:p>
            <w:pPr>
              <w:pStyle w:val="Normal"/>
              <w:spacing w:lineRule="auto" w:line="240" w:before="0" w:after="0"/>
              <w:jc w:val="center"/>
              <w:rPr>
                <w:rFonts w:ascii="Calibri" w:hAnsi="Calibri" w:eastAsia="Times New Roman" w:cs="Calibri"/>
                <w:b/>
                <w:bCs/>
                <w:color w:val="000000"/>
                <w:sz w:val="20"/>
                <w:szCs w:val="20"/>
                <w:lang w:val="es-AR"/>
              </w:rPr>
            </w:pPr>
            <w:r>
              <w:rPr>
                <w:rFonts w:eastAsia="Times New Roman" w:cs="Calibri" w:ascii="Calibri" w:hAnsi="Calibri"/>
                <w:b/>
                <w:bCs/>
                <w:color w:val="000000"/>
                <w:sz w:val="20"/>
                <w:szCs w:val="20"/>
                <w:lang w:val="es-AR"/>
              </w:rPr>
              <w:t>SD</w:t>
            </w:r>
          </w:p>
        </w:tc>
        <w:tc>
          <w:tcPr>
            <w:tcW w:w="940" w:type="dxa"/>
            <w:tcBorders>
              <w:bottom w:val="single" w:sz="8" w:space="0" w:color="000000"/>
            </w:tcBorders>
            <w:shd w:color="000000" w:fill="FFFFFF" w:val="clear"/>
            <w:vAlign w:val="center"/>
          </w:tcPr>
          <w:p>
            <w:pPr>
              <w:pStyle w:val="Normal"/>
              <w:spacing w:lineRule="auto" w:line="240" w:before="0" w:after="0"/>
              <w:jc w:val="center"/>
              <w:rPr>
                <w:rFonts w:ascii="Calibri" w:hAnsi="Calibri" w:eastAsia="Times New Roman" w:cs="Calibri"/>
                <w:b/>
                <w:bCs/>
                <w:color w:val="000000"/>
                <w:sz w:val="20"/>
                <w:szCs w:val="20"/>
                <w:lang w:val="es-AR"/>
              </w:rPr>
            </w:pPr>
            <w:r>
              <w:rPr>
                <w:rFonts w:eastAsia="Times New Roman" w:cs="Calibri" w:ascii="Calibri" w:hAnsi="Calibri"/>
                <w:b/>
                <w:bCs/>
                <w:color w:val="000000"/>
                <w:sz w:val="20"/>
                <w:szCs w:val="20"/>
                <w:lang w:val="es-AR"/>
              </w:rPr>
              <w:t>mean</w:t>
            </w:r>
          </w:p>
        </w:tc>
        <w:tc>
          <w:tcPr>
            <w:tcW w:w="499" w:type="dxa"/>
            <w:tcBorders>
              <w:bottom w:val="single" w:sz="8" w:space="0" w:color="000000"/>
            </w:tcBorders>
            <w:shd w:color="000000" w:fill="FFFFFF" w:val="clear"/>
            <w:vAlign w:val="center"/>
          </w:tcPr>
          <w:p>
            <w:pPr>
              <w:pStyle w:val="Normal"/>
              <w:spacing w:lineRule="auto" w:line="240" w:before="0" w:after="0"/>
              <w:jc w:val="center"/>
              <w:rPr>
                <w:rFonts w:ascii="Calibri" w:hAnsi="Calibri" w:eastAsia="Times New Roman" w:cs="Calibri"/>
                <w:b/>
                <w:bCs/>
                <w:color w:val="000000"/>
                <w:sz w:val="20"/>
                <w:szCs w:val="20"/>
                <w:lang w:val="es-AR"/>
              </w:rPr>
            </w:pPr>
            <w:r>
              <w:rPr>
                <w:rFonts w:eastAsia="Times New Roman" w:cs="Calibri" w:ascii="Calibri" w:hAnsi="Calibri"/>
                <w:b/>
                <w:bCs/>
                <w:color w:val="000000"/>
                <w:sz w:val="20"/>
                <w:szCs w:val="20"/>
                <w:lang w:val="es-AR"/>
              </w:rPr>
              <w:t>SD</w:t>
            </w:r>
          </w:p>
        </w:tc>
        <w:tc>
          <w:tcPr>
            <w:tcW w:w="901" w:type="dxa"/>
            <w:tcBorders>
              <w:bottom w:val="single" w:sz="8" w:space="0" w:color="000000"/>
            </w:tcBorders>
            <w:shd w:color="000000" w:fill="FFFFFF" w:val="clear"/>
            <w:vAlign w:val="center"/>
          </w:tcPr>
          <w:p>
            <w:pPr>
              <w:pStyle w:val="Normal"/>
              <w:spacing w:lineRule="auto" w:line="240" w:before="0" w:after="0"/>
              <w:jc w:val="center"/>
              <w:rPr>
                <w:rFonts w:ascii="Calibri" w:hAnsi="Calibri" w:eastAsia="Times New Roman" w:cs="Calibri"/>
                <w:b/>
                <w:bCs/>
                <w:color w:val="000000"/>
                <w:sz w:val="20"/>
                <w:szCs w:val="20"/>
                <w:lang w:val="es-AR"/>
              </w:rPr>
            </w:pPr>
            <w:r>
              <w:rPr>
                <w:rFonts w:eastAsia="Times New Roman" w:cs="Calibri" w:ascii="Calibri" w:hAnsi="Calibri"/>
                <w:b/>
                <w:bCs/>
                <w:color w:val="000000"/>
                <w:sz w:val="20"/>
                <w:szCs w:val="20"/>
                <w:lang w:val="es-AR"/>
              </w:rPr>
              <w:t>mean</w:t>
            </w:r>
          </w:p>
        </w:tc>
        <w:tc>
          <w:tcPr>
            <w:tcW w:w="800" w:type="dxa"/>
            <w:tcBorders>
              <w:bottom w:val="single" w:sz="8" w:space="0" w:color="000000"/>
            </w:tcBorders>
            <w:shd w:color="000000" w:fill="FFFFFF" w:val="clear"/>
            <w:vAlign w:val="center"/>
          </w:tcPr>
          <w:p>
            <w:pPr>
              <w:pStyle w:val="Normal"/>
              <w:spacing w:lineRule="auto" w:line="240" w:before="0" w:after="0"/>
              <w:jc w:val="center"/>
              <w:rPr>
                <w:rFonts w:ascii="Calibri" w:hAnsi="Calibri" w:eastAsia="Times New Roman" w:cs="Calibri"/>
                <w:b/>
                <w:bCs/>
                <w:color w:val="000000"/>
                <w:sz w:val="20"/>
                <w:szCs w:val="20"/>
                <w:lang w:val="es-AR"/>
              </w:rPr>
            </w:pPr>
            <w:r>
              <w:rPr>
                <w:rFonts w:eastAsia="Times New Roman" w:cs="Calibri" w:ascii="Calibri" w:hAnsi="Calibri"/>
                <w:b/>
                <w:bCs/>
                <w:color w:val="000000"/>
                <w:sz w:val="20"/>
                <w:szCs w:val="20"/>
                <w:lang w:val="es-AR"/>
              </w:rPr>
              <w:t>SD</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BE</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2021</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summer</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0.19</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 </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24</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 </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1123.3</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 </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BE</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2021</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summer</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0.22</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0.08</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23</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7</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1819.67</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581.72</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BE</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2021</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3</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summer</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0.23</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0.02</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569.7</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300.28</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BE</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2021</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4</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autumn</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0.26</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0.04</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18</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3</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1218.83</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655.44</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BE</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2021</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5</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autumn</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0.23</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0.03</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3</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583.24</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686.13</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BE</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2021</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6</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autumn</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0.24</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0.01</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19</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1440.27</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518.4</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BE</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2021</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7</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winter</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0.22</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 </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21</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 </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271.7</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 </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BE</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2021</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9</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winter</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0.34</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0.07</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14</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3</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903.63</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267.16</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BE</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2021</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10</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spring</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0.37</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0.01</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13</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1460.42</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602.32</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BE</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2021</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11</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spring</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0.22</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0.07</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23</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8</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1293.45</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1149.7</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BE</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2021</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12</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spring</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0.2</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0.03</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24</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3</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772.1</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373.06</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BE</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2022</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summer</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0.25</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0.07</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4</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1856.59</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981.65</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BE</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2022</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summer</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0.22</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0.03</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21</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3</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1958.47</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1047.3</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BE</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2022</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3</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summer</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0.28</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0.07</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17</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4</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818.3</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323.08</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BE</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2022</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4</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autumn</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0.28</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0.14</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19</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10</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908.7</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582.37</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BE</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2022</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5</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autumn</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0.21</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 </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22</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 </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184.59</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 </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BF</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2021</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3</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summer</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0.34</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0.1</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14</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5</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709.4</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571.88</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BF</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2021</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4</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autumn</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0.17</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 </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27</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 </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171.48</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 </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BF</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2021</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5</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autumn</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0.26</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 </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17</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 </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237.5</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 </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BF</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2021</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6</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autumn</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0.16</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0.02</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29</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3</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191.21</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170.54</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BF</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2021</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7</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winter</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0.22</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 </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21</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 </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235.1</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 </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BF</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2021</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9</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winter</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0.34</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0.15</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15</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6</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764.6</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400.75</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BF</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2021</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10</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spring</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0.4</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0.11</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12</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3</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1338.78</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450.96</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BF</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2021</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11</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spring</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0.24</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0.02</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1411.95</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900.69</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BF</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2021</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12</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spring</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0.27</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0.05</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18</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4</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1902.67</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1066.5</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BF</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2022</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summer</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0.24</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0.04</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19</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3</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1978.93</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1348</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BF</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2022</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summer</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0.22</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0.03</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22</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3</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2441.1</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1167.8</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BF</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2022</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3</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summer</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0.28</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0.06</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17</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3</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1495.28</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938.33</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BF</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2022</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4</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autumn</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0.3</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0.06</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16</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3</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636.2</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263.33</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BF</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2022</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5</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autumn</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0.2</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0.01</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23</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469.9</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174.23</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PP</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2021</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summer</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0.3</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 </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15</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 </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1627.1</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 </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PP</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2021</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summer</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0.25</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0.11</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21</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8</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1120.2</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463.97</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PP</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2021</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3</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summer</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0.19</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0.07</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27</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12</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962.6</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1175.7</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PP</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2021</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4</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autumn</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0.26</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 </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18</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 </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2172</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 </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PP</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2021</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5</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autumn</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0.17</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 </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27</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 </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253.8</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 </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PP</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2021</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6</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autumn</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0.18</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 </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26</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 </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199.62</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 </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PP</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2021</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7</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winter</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0.23</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 </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 </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462.7</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 </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PP</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2021</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9</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winter</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0.31</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0.03</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15</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1138.84</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786.49</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PP</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2021</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10</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spring</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0.28</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0.04</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16</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1937.1</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1238.7</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PP</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2021</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11</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spring</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0.21</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0.04</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23</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5</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634.55</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310.81</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PP</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2021</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12</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spring</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0.27</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0.02</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17</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1745.23</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1043.3</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PP</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2022</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summer</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0.24</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0.03</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3</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2160.92</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532.97</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PP</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2022</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summer</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0.22</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0.13</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28</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19</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2517.77</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1358.1</w:t>
            </w:r>
          </w:p>
        </w:tc>
      </w:tr>
      <w:tr>
        <w:trPr>
          <w:trHeight w:val="276" w:hRule="atLeast"/>
        </w:trPr>
        <w:tc>
          <w:tcPr>
            <w:tcW w:w="76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PP</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2022</w:t>
            </w:r>
          </w:p>
        </w:tc>
        <w:tc>
          <w:tcPr>
            <w:tcW w:w="77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3</w:t>
            </w:r>
          </w:p>
        </w:tc>
        <w:tc>
          <w:tcPr>
            <w:tcW w:w="108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summer</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0.24</w:t>
            </w:r>
          </w:p>
        </w:tc>
        <w:tc>
          <w:tcPr>
            <w:tcW w:w="76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0.06</w:t>
            </w:r>
          </w:p>
        </w:tc>
        <w:tc>
          <w:tcPr>
            <w:tcW w:w="94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21</w:t>
            </w:r>
          </w:p>
        </w:tc>
        <w:tc>
          <w:tcPr>
            <w:tcW w:w="499"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6</w:t>
            </w:r>
          </w:p>
        </w:tc>
        <w:tc>
          <w:tcPr>
            <w:tcW w:w="901"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782.43</w:t>
            </w:r>
          </w:p>
        </w:tc>
        <w:tc>
          <w:tcPr>
            <w:tcW w:w="800" w:type="dxa"/>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990.73</w:t>
            </w:r>
          </w:p>
        </w:tc>
      </w:tr>
      <w:tr>
        <w:trPr>
          <w:trHeight w:val="288" w:hRule="atLeast"/>
        </w:trPr>
        <w:tc>
          <w:tcPr>
            <w:tcW w:w="760" w:type="dxa"/>
            <w:tcBorders>
              <w:bottom w:val="single" w:sz="8" w:space="0" w:color="000000"/>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PP</w:t>
            </w:r>
          </w:p>
        </w:tc>
        <w:tc>
          <w:tcPr>
            <w:tcW w:w="940" w:type="dxa"/>
            <w:tcBorders>
              <w:bottom w:val="single" w:sz="8" w:space="0" w:color="000000"/>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2022</w:t>
            </w:r>
          </w:p>
        </w:tc>
        <w:tc>
          <w:tcPr>
            <w:tcW w:w="779" w:type="dxa"/>
            <w:tcBorders>
              <w:bottom w:val="single" w:sz="8" w:space="0" w:color="000000"/>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4</w:t>
            </w:r>
          </w:p>
        </w:tc>
        <w:tc>
          <w:tcPr>
            <w:tcW w:w="1080" w:type="dxa"/>
            <w:tcBorders>
              <w:bottom w:val="single" w:sz="8" w:space="0" w:color="000000"/>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autumn</w:t>
            </w:r>
          </w:p>
        </w:tc>
        <w:tc>
          <w:tcPr>
            <w:tcW w:w="940" w:type="dxa"/>
            <w:tcBorders>
              <w:bottom w:val="single" w:sz="8" w:space="0" w:color="000000"/>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0.18</w:t>
            </w:r>
          </w:p>
        </w:tc>
        <w:tc>
          <w:tcPr>
            <w:tcW w:w="761" w:type="dxa"/>
            <w:tcBorders>
              <w:bottom w:val="single" w:sz="8" w:space="0" w:color="000000"/>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0.06</w:t>
            </w:r>
          </w:p>
        </w:tc>
        <w:tc>
          <w:tcPr>
            <w:tcW w:w="940" w:type="dxa"/>
            <w:tcBorders>
              <w:bottom w:val="single" w:sz="8" w:space="0" w:color="000000"/>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27</w:t>
            </w:r>
          </w:p>
        </w:tc>
        <w:tc>
          <w:tcPr>
            <w:tcW w:w="499" w:type="dxa"/>
            <w:tcBorders>
              <w:bottom w:val="single" w:sz="8" w:space="0" w:color="000000"/>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8</w:t>
            </w:r>
          </w:p>
        </w:tc>
        <w:tc>
          <w:tcPr>
            <w:tcW w:w="901" w:type="dxa"/>
            <w:tcBorders>
              <w:bottom w:val="single" w:sz="8" w:space="0" w:color="000000"/>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458.6</w:t>
            </w:r>
          </w:p>
        </w:tc>
        <w:tc>
          <w:tcPr>
            <w:tcW w:w="800" w:type="dxa"/>
            <w:tcBorders>
              <w:bottom w:val="single" w:sz="8" w:space="0" w:color="000000"/>
            </w:tcBorders>
            <w:shd w:color="000000" w:fill="FFFFFF" w:val="clear"/>
            <w:vAlign w:val="center"/>
          </w:tcPr>
          <w:p>
            <w:pPr>
              <w:pStyle w:val="Normal"/>
              <w:spacing w:lineRule="auto" w:line="240" w:before="0" w:after="0"/>
              <w:jc w:val="center"/>
              <w:rPr>
                <w:rFonts w:ascii="Calibri" w:hAnsi="Calibri" w:eastAsia="Times New Roman" w:cs="Calibri"/>
                <w:color w:val="000000"/>
                <w:sz w:val="20"/>
                <w:szCs w:val="20"/>
                <w:lang w:val="es-AR"/>
              </w:rPr>
            </w:pPr>
            <w:r>
              <w:rPr>
                <w:rFonts w:eastAsia="Times New Roman" w:cs="Calibri" w:ascii="Calibri" w:hAnsi="Calibri"/>
                <w:color w:val="000000"/>
                <w:sz w:val="20"/>
                <w:szCs w:val="20"/>
                <w:lang w:val="es-AR"/>
              </w:rPr>
              <w:t>11.03</w:t>
            </w:r>
          </w:p>
        </w:tc>
      </w:tr>
    </w:tbl>
    <w:p>
      <w:pPr>
        <w:pStyle w:val="Normal"/>
        <w:jc w:val="both"/>
        <w:rPr>
          <w:rFonts w:ascii="Arial" w:hAnsi="Arial" w:cs="Arial"/>
        </w:rPr>
      </w:pPr>
      <w:r>
        <w:rPr>
          <w:rFonts w:cs="Arial" w:ascii="Arial" w:hAnsi="Arial"/>
        </w:rPr>
      </w:r>
    </w:p>
    <w:p>
      <w:pPr>
        <w:pStyle w:val="Normal"/>
        <w:jc w:val="both"/>
        <w:rPr>
          <w:rFonts w:ascii="Arial" w:hAnsi="Arial" w:cs="Arial"/>
        </w:rPr>
      </w:pPr>
      <w:r>
        <w:rPr/>
        <w:drawing>
          <wp:anchor behindDoc="0" distT="0" distB="0" distL="0" distR="0" simplePos="0" locked="0" layoutInCell="0" allowOverlap="1" relativeHeight="5">
            <wp:simplePos x="0" y="0"/>
            <wp:positionH relativeFrom="column">
              <wp:align>center</wp:align>
            </wp:positionH>
            <wp:positionV relativeFrom="paragraph">
              <wp:posOffset>635</wp:posOffset>
            </wp:positionV>
            <wp:extent cx="5400040" cy="4467225"/>
            <wp:effectExtent l="0" t="0" r="0" b="0"/>
            <wp:wrapSquare wrapText="largest"/>
            <wp:docPr id="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4"/>
                    <a:stretch>
                      <a:fillRect/>
                    </a:stretch>
                  </pic:blipFill>
                  <pic:spPr bwMode="auto">
                    <a:xfrm>
                      <a:off x="0" y="0"/>
                      <a:ext cx="5400040" cy="4467225"/>
                    </a:xfrm>
                    <a:prstGeom prst="rect">
                      <a:avLst/>
                    </a:prstGeom>
                    <a:noFill/>
                  </pic:spPr>
                </pic:pic>
              </a:graphicData>
            </a:graphic>
          </wp:anchor>
        </w:drawing>
      </w:r>
    </w:p>
    <w:p>
      <w:pPr>
        <w:pStyle w:val="Normal"/>
        <w:jc w:val="both"/>
        <w:rPr>
          <w:rFonts w:ascii="Arial" w:hAnsi="Arial" w:cs="Arial"/>
        </w:rPr>
      </w:pPr>
      <w:r>
        <w:rPr>
          <w:rFonts w:cs="Arial" w:ascii="Arial" w:hAnsi="Arial"/>
          <w:b/>
          <w:bCs/>
        </w:rPr>
        <w:t xml:space="preserve">Figure S2. </w:t>
      </w:r>
      <w:r>
        <w:rPr>
          <w:rFonts w:cs="Arial" w:ascii="Arial" w:hAnsi="Arial"/>
        </w:rPr>
        <w:t xml:space="preserve">Partial effects of environmental and biological predictors on log-transformed </w:t>
      </w:r>
      <w:r>
        <w:rPr>
          <w:rFonts w:cs="Arial" w:ascii="Arial" w:hAnsi="Arial"/>
          <w:i/>
          <w:iCs/>
        </w:rPr>
        <w:t>Alexandrium catenella</w:t>
      </w:r>
      <w:r>
        <w:rPr>
          <w:rFonts w:cs="Arial" w:ascii="Arial" w:hAnsi="Arial"/>
        </w:rPr>
        <w:t xml:space="preserve"> abundance at BE estimated using the final non-lagged generalized additive model (GAM). Smooth terms are shown for surface irradiance (PAR_total), diffuse light attenuation coefficient (Kd), water temperature (Tw), ciliate abundance, ammonium (NH</w:t>
      </w:r>
      <w:r>
        <w:rPr>
          <w:rFonts w:cs="Cambria Math" w:ascii="Cambria Math" w:hAnsi="Cambria Math"/>
        </w:rPr>
        <w:t>₄⁺</w:t>
      </w:r>
      <w:r>
        <w:rPr>
          <w:rFonts w:cs="Arial" w:ascii="Arial" w:hAnsi="Arial"/>
        </w:rPr>
        <w:t>), mean wind speed (Wmean), Southern Annular Mode index (SAM_int), and sampling date. Solid black lines represent fitted smooth functions, grey bands indicate approximate 95% confidence intervals, blue points represent partial residuals, and rug plots show the distribution of observations along each predictor. Thin plate regression splines were used for environmental and biological predictors, and a cubic regression spline was used for sampling date.</w:t>
      </w:r>
    </w:p>
    <w:p>
      <w:pPr>
        <w:pStyle w:val="Normal"/>
        <w:jc w:val="both"/>
        <w:rPr>
          <w:rFonts w:ascii="Arial" w:hAnsi="Arial" w:cs="Arial"/>
        </w:rPr>
      </w:pPr>
      <w:r>
        <w:rPr/>
        <w:drawing>
          <wp:inline distT="0" distB="0" distL="0" distR="0">
            <wp:extent cx="5867400" cy="4057015"/>
            <wp:effectExtent l="0" t="0" r="0" b="0"/>
            <wp:docPr id="4"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
                    <pic:cNvPicPr>
                      <a:picLocks noChangeAspect="1" noChangeArrowheads="1"/>
                    </pic:cNvPicPr>
                  </pic:nvPicPr>
                  <pic:blipFill>
                    <a:blip r:embed="rId5"/>
                    <a:stretch>
                      <a:fillRect/>
                    </a:stretch>
                  </pic:blipFill>
                  <pic:spPr bwMode="auto">
                    <a:xfrm>
                      <a:off x="0" y="0"/>
                      <a:ext cx="5867400" cy="4057015"/>
                    </a:xfrm>
                    <a:prstGeom prst="rect">
                      <a:avLst/>
                    </a:prstGeom>
                    <a:noFill/>
                  </pic:spPr>
                </pic:pic>
              </a:graphicData>
            </a:graphic>
          </wp:inline>
        </w:drawing>
      </w:r>
    </w:p>
    <w:p>
      <w:pPr>
        <w:pStyle w:val="Normal"/>
        <w:jc w:val="both"/>
        <w:rPr>
          <w:rFonts w:ascii="Arial" w:hAnsi="Arial" w:cs="Arial"/>
        </w:rPr>
      </w:pPr>
      <w:r>
        <w:rPr>
          <w:rFonts w:cs="Arial" w:ascii="Arial" w:hAnsi="Arial"/>
          <w:b/>
          <w:bCs/>
        </w:rPr>
        <w:t xml:space="preserve">Figure S3. </w:t>
      </w:r>
      <w:r>
        <w:rPr>
          <w:rFonts w:cs="Arial" w:ascii="Arial" w:hAnsi="Arial"/>
        </w:rPr>
        <w:t xml:space="preserve">Diagnostic plots for the final non-lagged generalized additive model (GAM) fitted to log-transformed </w:t>
      </w:r>
      <w:r>
        <w:rPr>
          <w:rFonts w:cs="Arial" w:ascii="Arial" w:hAnsi="Arial"/>
          <w:i/>
          <w:iCs/>
        </w:rPr>
        <w:t>Alexandrium catenella</w:t>
      </w:r>
      <w:r>
        <w:rPr>
          <w:rFonts w:cs="Arial" w:ascii="Arial" w:hAnsi="Arial"/>
        </w:rPr>
        <w:t xml:space="preserve"> abundance at BE. Panels show the quantile–quantile plot of deviance residuals, residuals versus linear predictor, histogram of deviance residuals, and observed versus fitted values. The diagnostics support the adequacy of the model for exploratory inference, while indicating moderate heteroscedasticity and a few influential observations associated with high-abundance bloom conditions.</w:t>
      </w:r>
    </w:p>
    <w:p>
      <w:pPr>
        <w:pStyle w:val="Normal"/>
        <w:spacing w:before="0" w:after="160"/>
        <w:jc w:val="both"/>
        <w:rPr>
          <w:rFonts w:ascii="Arial" w:hAnsi="Arial" w:cs="Arial"/>
        </w:rPr>
      </w:pPr>
      <w:r>
        <w:rPr>
          <w:rFonts w:cs="Arial" w:ascii="Arial" w:hAnsi="Arial"/>
        </w:rPr>
      </w:r>
    </w:p>
    <w:sectPr>
      <w:footerReference w:type="even" r:id="rId6"/>
      <w:footerReference w:type="default" r:id="rId7"/>
      <w:footerReference w:type="first" r:id="rId8"/>
      <w:type w:val="nextPage"/>
      <w:pgSz w:w="11906" w:h="16838"/>
      <w:pgMar w:left="1701" w:right="1701" w:gutter="0" w:header="0" w:top="1417" w:footer="708" w:bottom="1417"/>
      <w:lnNumType w:countBy="1" w:restart="continuous" w:distance="283"/>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Aptos">
    <w:charset w:val="01" w:characterSet="utf-8"/>
    <w:family w:val="roman"/>
    <w:pitch w:val="variable"/>
  </w:font>
  <w:font w:name="Aptos">
    <w:charset w:val="01" w:characterSet="utf-8"/>
    <w:family w:val="swiss"/>
    <w:pitch w:val="variable"/>
  </w:font>
  <w:font w:name="Aptos Display">
    <w:charset w:val="01" w:characterSet="utf-8"/>
    <w:family w:val="swiss"/>
    <w:pitch w:val="variable"/>
  </w:font>
  <w:font w:name="Aptos Display">
    <w:charset w:val="01" w:characterSet="utf-8"/>
    <w:family w:val="roman"/>
    <w:pitch w:val="variable"/>
  </w:font>
  <w:font w:name="Liberation Sans">
    <w:altName w:val="Arial"/>
    <w:charset w:val="01" w:characterSet="utf-8"/>
    <w:family w:val="swiss"/>
    <w:pitch w:val="variable"/>
  </w:font>
  <w:font w:name="Arial">
    <w:charset w:val="01" w:characterSet="utf-8"/>
    <w:family w:val="swiss"/>
    <w:pitch w:val="variable"/>
  </w:font>
  <w:font w:name="Cambria Math">
    <w:charset w:val="01" w:characterSet="utf-8"/>
    <w:family w:val="roman"/>
    <w:pitch w:val="variable"/>
  </w:font>
  <w:font w:name="Aptos Narrow">
    <w:charset w:val="01" w:characterSet="utf-8"/>
    <w:family w:val="swiss"/>
    <w:pitch w:val="variable"/>
  </w:font>
  <w:font w:name="Calibri">
    <w:charset w:val="01" w:characterSet="utf-8"/>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09718118"/>
    </w:sdtPr>
    <w:sdtContent>
      <w:p>
        <w:pPr>
          <w:pStyle w:val="Footer"/>
          <w:jc w:val="end"/>
          <w:rPr/>
        </w:pPr>
        <w:r>
          <w:rPr/>
          <w:fldChar w:fldCharType="begin"/>
        </w:r>
        <w:r>
          <w:rPr/>
          <w:instrText xml:space="preserve"> PAGE </w:instrText>
        </w:r>
        <w:r>
          <w:rPr/>
          <w:fldChar w:fldCharType="separate"/>
        </w:r>
        <w:r>
          <w:rPr/>
          <w:t>4</w:t>
        </w:r>
        <w:r>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09718118"/>
    </w:sdtPr>
    <w:sdtContent>
      <w:p>
        <w:pPr>
          <w:pStyle w:val="Footer"/>
          <w:jc w:val="end"/>
          <w:rPr/>
        </w:pPr>
        <w:r>
          <w:rPr/>
          <w:fldChar w:fldCharType="begin"/>
        </w:r>
        <w:r>
          <w:rPr/>
          <w:instrText xml:space="preserve"> PAGE </w:instrText>
        </w:r>
        <w:r>
          <w:rPr/>
          <w:fldChar w:fldCharType="separate"/>
        </w:r>
        <w:r>
          <w:rPr/>
          <w:t>4</w:t>
        </w:r>
        <w:r>
          <w:rPr/>
          <w:fldChar w:fldCharType="end"/>
        </w:r>
      </w:p>
    </w:sdtContent>
  </w:sdt>
  <w:p>
    <w:pPr>
      <w:pStyle w:val="Footer"/>
      <w:rPr/>
    </w:pPr>
    <w:r>
      <w:rPr/>
    </w:r>
  </w:p>
</w:ftr>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s-A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4"/>
        <w:szCs w:val="24"/>
        <w:lang w:val="es-AR"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33f50"/>
    <w:pPr>
      <w:widowControl/>
      <w:bidi w:val="0"/>
      <w:spacing w:lineRule="auto" w:line="278" w:before="0" w:after="160"/>
      <w:jc w:val="start"/>
    </w:pPr>
    <w:rPr>
      <w:rFonts w:ascii="Aptos" w:hAnsi="Aptos" w:eastAsia="Aptos" w:cs="Aptos"/>
      <w:color w:val="auto"/>
      <w:kern w:val="0"/>
      <w:sz w:val="24"/>
      <w:szCs w:val="24"/>
      <w:lang w:val="en-US" w:eastAsia="es-AR" w:bidi="ar-SA"/>
      <w14:ligatures w14:val="none"/>
    </w:rPr>
  </w:style>
  <w:style w:type="paragraph" w:styleId="Heading1">
    <w:name w:val="heading 1"/>
    <w:basedOn w:val="Normal"/>
    <w:next w:val="Normal"/>
    <w:link w:val="Ttulo1Car"/>
    <w:uiPriority w:val="9"/>
    <w:qFormat/>
    <w:rsid w:val="00b33f50"/>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kern w:val="2"/>
      <w:sz w:val="40"/>
      <w:szCs w:val="40"/>
      <w:lang w:val="es-AR" w:eastAsia="en-US"/>
      <w14:ligatures w14:val="standardContextual"/>
    </w:rPr>
  </w:style>
  <w:style w:type="paragraph" w:styleId="Heading2">
    <w:name w:val="heading 2"/>
    <w:basedOn w:val="Normal"/>
    <w:next w:val="Normal"/>
    <w:link w:val="Ttulo2Car"/>
    <w:uiPriority w:val="9"/>
    <w:semiHidden/>
    <w:unhideWhenUsed/>
    <w:qFormat/>
    <w:rsid w:val="00b33f50"/>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kern w:val="2"/>
      <w:sz w:val="32"/>
      <w:szCs w:val="32"/>
      <w:lang w:val="es-AR" w:eastAsia="en-US"/>
      <w14:ligatures w14:val="standardContextual"/>
    </w:rPr>
  </w:style>
  <w:style w:type="paragraph" w:styleId="Heading3">
    <w:name w:val="heading 3"/>
    <w:basedOn w:val="Normal"/>
    <w:next w:val="Normal"/>
    <w:link w:val="Ttulo3Car"/>
    <w:uiPriority w:val="9"/>
    <w:semiHidden/>
    <w:unhideWhenUsed/>
    <w:qFormat/>
    <w:rsid w:val="00b33f50"/>
    <w:pPr>
      <w:keepNext w:val="true"/>
      <w:keepLines/>
      <w:spacing w:before="160" w:after="80"/>
      <w:outlineLvl w:val="2"/>
    </w:pPr>
    <w:rPr>
      <w:rFonts w:ascii="Aptos" w:hAnsi="Aptos" w:eastAsia="" w:cs="" w:asciiTheme="minorHAnsi" w:cstheme="majorBidi" w:eastAsiaTheme="majorEastAsia" w:hAnsiTheme="minorHAnsi"/>
      <w:color w:themeColor="accent1" w:themeShade="bf" w:val="0F4761"/>
      <w:kern w:val="2"/>
      <w:sz w:val="28"/>
      <w:szCs w:val="28"/>
      <w:lang w:val="es-AR" w:eastAsia="en-US"/>
      <w14:ligatures w14:val="standardContextual"/>
    </w:rPr>
  </w:style>
  <w:style w:type="paragraph" w:styleId="Heading4">
    <w:name w:val="heading 4"/>
    <w:basedOn w:val="Normal"/>
    <w:next w:val="Normal"/>
    <w:link w:val="Ttulo4Car"/>
    <w:uiPriority w:val="9"/>
    <w:semiHidden/>
    <w:unhideWhenUsed/>
    <w:qFormat/>
    <w:rsid w:val="00b33f50"/>
    <w:pPr>
      <w:keepNext w:val="true"/>
      <w:keepLines/>
      <w:spacing w:before="80" w:after="40"/>
      <w:outlineLvl w:val="3"/>
    </w:pPr>
    <w:rPr>
      <w:rFonts w:ascii="Aptos" w:hAnsi="Aptos" w:eastAsia="" w:cs="" w:asciiTheme="minorHAnsi" w:cstheme="majorBidi" w:eastAsiaTheme="majorEastAsia" w:hAnsiTheme="minorHAnsi"/>
      <w:i/>
      <w:iCs/>
      <w:color w:themeColor="accent1" w:themeShade="bf" w:val="0F4761"/>
      <w:kern w:val="2"/>
      <w:lang w:val="es-AR" w:eastAsia="en-US"/>
      <w14:ligatures w14:val="standardContextual"/>
    </w:rPr>
  </w:style>
  <w:style w:type="paragraph" w:styleId="Heading5">
    <w:name w:val="heading 5"/>
    <w:basedOn w:val="Normal"/>
    <w:next w:val="Normal"/>
    <w:link w:val="Ttulo5Car"/>
    <w:uiPriority w:val="9"/>
    <w:semiHidden/>
    <w:unhideWhenUsed/>
    <w:qFormat/>
    <w:rsid w:val="00b33f50"/>
    <w:pPr>
      <w:keepNext w:val="true"/>
      <w:keepLines/>
      <w:spacing w:before="80" w:after="40"/>
      <w:outlineLvl w:val="4"/>
    </w:pPr>
    <w:rPr>
      <w:rFonts w:ascii="Aptos" w:hAnsi="Aptos" w:eastAsia="" w:cs="" w:asciiTheme="minorHAnsi" w:cstheme="majorBidi" w:eastAsiaTheme="majorEastAsia" w:hAnsiTheme="minorHAnsi"/>
      <w:color w:themeColor="accent1" w:themeShade="bf" w:val="0F4761"/>
      <w:kern w:val="2"/>
      <w:lang w:val="es-AR" w:eastAsia="en-US"/>
      <w14:ligatures w14:val="standardContextual"/>
    </w:rPr>
  </w:style>
  <w:style w:type="paragraph" w:styleId="Heading6">
    <w:name w:val="heading 6"/>
    <w:basedOn w:val="Normal"/>
    <w:next w:val="Normal"/>
    <w:link w:val="Ttulo6Car"/>
    <w:uiPriority w:val="9"/>
    <w:semiHidden/>
    <w:unhideWhenUsed/>
    <w:qFormat/>
    <w:rsid w:val="00b33f50"/>
    <w:pPr>
      <w:keepNext w:val="true"/>
      <w:keepLines/>
      <w:spacing w:before="40" w:after="0"/>
      <w:outlineLvl w:val="5"/>
    </w:pPr>
    <w:rPr>
      <w:rFonts w:ascii="Aptos" w:hAnsi="Aptos" w:eastAsia="" w:cs="" w:asciiTheme="minorHAnsi" w:cstheme="majorBidi" w:eastAsiaTheme="majorEastAsia" w:hAnsiTheme="minorHAnsi"/>
      <w:i/>
      <w:iCs/>
      <w:color w:themeColor="text1" w:themeTint="a6" w:val="595959"/>
      <w:kern w:val="2"/>
      <w:lang w:val="es-AR" w:eastAsia="en-US"/>
      <w14:ligatures w14:val="standardContextual"/>
    </w:rPr>
  </w:style>
  <w:style w:type="paragraph" w:styleId="Heading7">
    <w:name w:val="heading 7"/>
    <w:basedOn w:val="Normal"/>
    <w:next w:val="Normal"/>
    <w:link w:val="Ttulo7Car"/>
    <w:uiPriority w:val="9"/>
    <w:semiHidden/>
    <w:unhideWhenUsed/>
    <w:qFormat/>
    <w:rsid w:val="00b33f50"/>
    <w:pPr>
      <w:keepNext w:val="true"/>
      <w:keepLines/>
      <w:spacing w:before="40" w:after="0"/>
      <w:outlineLvl w:val="6"/>
    </w:pPr>
    <w:rPr>
      <w:rFonts w:ascii="Aptos" w:hAnsi="Aptos" w:eastAsia="" w:cs="" w:asciiTheme="minorHAnsi" w:cstheme="majorBidi" w:eastAsiaTheme="majorEastAsia" w:hAnsiTheme="minorHAnsi"/>
      <w:color w:themeColor="text1" w:themeTint="a6" w:val="595959"/>
      <w:kern w:val="2"/>
      <w:lang w:val="es-AR" w:eastAsia="en-US"/>
      <w14:ligatures w14:val="standardContextual"/>
    </w:rPr>
  </w:style>
  <w:style w:type="paragraph" w:styleId="Heading8">
    <w:name w:val="heading 8"/>
    <w:basedOn w:val="Normal"/>
    <w:next w:val="Normal"/>
    <w:link w:val="Ttulo8Car"/>
    <w:uiPriority w:val="9"/>
    <w:semiHidden/>
    <w:unhideWhenUsed/>
    <w:qFormat/>
    <w:rsid w:val="00b33f50"/>
    <w:pPr>
      <w:keepNext w:val="true"/>
      <w:keepLines/>
      <w:spacing w:before="0" w:after="0"/>
      <w:outlineLvl w:val="7"/>
    </w:pPr>
    <w:rPr>
      <w:rFonts w:ascii="Aptos" w:hAnsi="Aptos" w:eastAsia="" w:cs="" w:asciiTheme="minorHAnsi" w:cstheme="majorBidi" w:eastAsiaTheme="majorEastAsia" w:hAnsiTheme="minorHAnsi"/>
      <w:i/>
      <w:iCs/>
      <w:color w:themeColor="text1" w:themeTint="d8" w:val="272727"/>
      <w:kern w:val="2"/>
      <w:lang w:val="es-AR" w:eastAsia="en-US"/>
      <w14:ligatures w14:val="standardContextual"/>
    </w:rPr>
  </w:style>
  <w:style w:type="paragraph" w:styleId="Heading9">
    <w:name w:val="heading 9"/>
    <w:basedOn w:val="Normal"/>
    <w:next w:val="Normal"/>
    <w:link w:val="Ttulo9Car"/>
    <w:uiPriority w:val="9"/>
    <w:semiHidden/>
    <w:unhideWhenUsed/>
    <w:qFormat/>
    <w:rsid w:val="00b33f50"/>
    <w:pPr>
      <w:keepNext w:val="true"/>
      <w:keepLines/>
      <w:spacing w:before="0" w:after="0"/>
      <w:outlineLvl w:val="8"/>
    </w:pPr>
    <w:rPr>
      <w:rFonts w:ascii="Aptos" w:hAnsi="Aptos" w:eastAsia="" w:cs="" w:asciiTheme="minorHAnsi" w:cstheme="majorBidi" w:eastAsiaTheme="majorEastAsia" w:hAnsiTheme="minorHAnsi"/>
      <w:color w:themeColor="text1" w:themeTint="d8" w:val="272727"/>
      <w:kern w:val="2"/>
      <w:lang w:val="es-AR" w:eastAsia="en-US"/>
      <w14:ligatures w14:val="standardContextual"/>
    </w:rPr>
  </w:style>
  <w:style w:type="character" w:styleId="DefaultParagraphFont" w:default="1">
    <w:name w:val="Default Paragraph Font"/>
    <w:uiPriority w:val="1"/>
    <w:unhideWhenUsed/>
    <w:qFormat/>
    <w:rPr/>
  </w:style>
  <w:style w:type="character" w:styleId="Ttulo1Car" w:customStyle="1">
    <w:name w:val="Título 1 Car"/>
    <w:basedOn w:val="DefaultParagraphFont"/>
    <w:link w:val="Heading1"/>
    <w:uiPriority w:val="9"/>
    <w:qFormat/>
    <w:rsid w:val="00b33f50"/>
    <w:rPr>
      <w:rFonts w:ascii="Aptos Display" w:hAnsi="Aptos Display" w:eastAsia="" w:cs="" w:asciiTheme="majorHAnsi" w:cstheme="majorBidi" w:eastAsiaTheme="majorEastAsia" w:hAnsiTheme="majorHAnsi"/>
      <w:color w:themeColor="accent1" w:themeShade="bf" w:val="0F4761"/>
      <w:sz w:val="40"/>
      <w:szCs w:val="40"/>
    </w:rPr>
  </w:style>
  <w:style w:type="character" w:styleId="Ttulo2Car" w:customStyle="1">
    <w:name w:val="Título 2 Car"/>
    <w:basedOn w:val="DefaultParagraphFont"/>
    <w:link w:val="Heading2"/>
    <w:uiPriority w:val="9"/>
    <w:semiHidden/>
    <w:qFormat/>
    <w:rsid w:val="00b33f50"/>
    <w:rPr>
      <w:rFonts w:ascii="Aptos Display" w:hAnsi="Aptos Display" w:eastAsia="" w:cs="" w:asciiTheme="majorHAnsi" w:cstheme="majorBidi" w:eastAsiaTheme="majorEastAsia" w:hAnsiTheme="majorHAnsi"/>
      <w:color w:themeColor="accent1" w:themeShade="bf" w:val="0F4761"/>
      <w:sz w:val="32"/>
      <w:szCs w:val="32"/>
    </w:rPr>
  </w:style>
  <w:style w:type="character" w:styleId="Ttulo3Car" w:customStyle="1">
    <w:name w:val="Título 3 Car"/>
    <w:basedOn w:val="DefaultParagraphFont"/>
    <w:link w:val="Heading3"/>
    <w:uiPriority w:val="9"/>
    <w:semiHidden/>
    <w:qFormat/>
    <w:rsid w:val="00b33f50"/>
    <w:rPr>
      <w:rFonts w:eastAsia="" w:cs="" w:cstheme="majorBidi" w:eastAsiaTheme="majorEastAsia"/>
      <w:color w:themeColor="accent1" w:themeShade="bf" w:val="0F4761"/>
      <w:sz w:val="28"/>
      <w:szCs w:val="28"/>
    </w:rPr>
  </w:style>
  <w:style w:type="character" w:styleId="Ttulo4Car" w:customStyle="1">
    <w:name w:val="Título 4 Car"/>
    <w:basedOn w:val="DefaultParagraphFont"/>
    <w:link w:val="Heading4"/>
    <w:uiPriority w:val="9"/>
    <w:semiHidden/>
    <w:qFormat/>
    <w:rsid w:val="00b33f50"/>
    <w:rPr>
      <w:rFonts w:eastAsia="" w:cs="" w:cstheme="majorBidi" w:eastAsiaTheme="majorEastAsia"/>
      <w:i/>
      <w:iCs/>
      <w:color w:themeColor="accent1" w:themeShade="bf" w:val="0F4761"/>
    </w:rPr>
  </w:style>
  <w:style w:type="character" w:styleId="Ttulo5Car" w:customStyle="1">
    <w:name w:val="Título 5 Car"/>
    <w:basedOn w:val="DefaultParagraphFont"/>
    <w:link w:val="Heading5"/>
    <w:uiPriority w:val="9"/>
    <w:semiHidden/>
    <w:qFormat/>
    <w:rsid w:val="00b33f50"/>
    <w:rPr>
      <w:rFonts w:eastAsia="" w:cs="" w:cstheme="majorBidi" w:eastAsiaTheme="majorEastAsia"/>
      <w:color w:themeColor="accent1" w:themeShade="bf" w:val="0F4761"/>
    </w:rPr>
  </w:style>
  <w:style w:type="character" w:styleId="Ttulo6Car" w:customStyle="1">
    <w:name w:val="Título 6 Car"/>
    <w:basedOn w:val="DefaultParagraphFont"/>
    <w:link w:val="Heading6"/>
    <w:uiPriority w:val="9"/>
    <w:semiHidden/>
    <w:qFormat/>
    <w:rsid w:val="00b33f50"/>
    <w:rPr>
      <w:rFonts w:eastAsia="" w:cs="" w:cstheme="majorBidi" w:eastAsiaTheme="majorEastAsia"/>
      <w:i/>
      <w:iCs/>
      <w:color w:themeColor="text1" w:themeTint="a6" w:val="595959"/>
    </w:rPr>
  </w:style>
  <w:style w:type="character" w:styleId="Ttulo7Car" w:customStyle="1">
    <w:name w:val="Título 7 Car"/>
    <w:basedOn w:val="DefaultParagraphFont"/>
    <w:link w:val="Heading7"/>
    <w:uiPriority w:val="9"/>
    <w:semiHidden/>
    <w:qFormat/>
    <w:rsid w:val="00b33f50"/>
    <w:rPr>
      <w:rFonts w:eastAsia="" w:cs="" w:cstheme="majorBidi" w:eastAsiaTheme="majorEastAsia"/>
      <w:color w:themeColor="text1" w:themeTint="a6" w:val="595959"/>
    </w:rPr>
  </w:style>
  <w:style w:type="character" w:styleId="Ttulo8Car" w:customStyle="1">
    <w:name w:val="Título 8 Car"/>
    <w:basedOn w:val="DefaultParagraphFont"/>
    <w:link w:val="Heading8"/>
    <w:uiPriority w:val="9"/>
    <w:semiHidden/>
    <w:qFormat/>
    <w:rsid w:val="00b33f50"/>
    <w:rPr>
      <w:rFonts w:eastAsia="" w:cs="" w:cstheme="majorBidi" w:eastAsiaTheme="majorEastAsia"/>
      <w:i/>
      <w:iCs/>
      <w:color w:themeColor="text1" w:themeTint="d8" w:val="272727"/>
    </w:rPr>
  </w:style>
  <w:style w:type="character" w:styleId="Ttulo9Car" w:customStyle="1">
    <w:name w:val="Título 9 Car"/>
    <w:basedOn w:val="DefaultParagraphFont"/>
    <w:link w:val="Heading9"/>
    <w:uiPriority w:val="9"/>
    <w:semiHidden/>
    <w:qFormat/>
    <w:rsid w:val="00b33f50"/>
    <w:rPr>
      <w:rFonts w:eastAsia="" w:cs="" w:cstheme="majorBidi" w:eastAsiaTheme="majorEastAsia"/>
      <w:color w:themeColor="text1" w:themeTint="d8" w:val="272727"/>
    </w:rPr>
  </w:style>
  <w:style w:type="character" w:styleId="TtuloCar" w:customStyle="1">
    <w:name w:val="Título Car"/>
    <w:basedOn w:val="DefaultParagraphFont"/>
    <w:link w:val="Title"/>
    <w:uiPriority w:val="10"/>
    <w:qFormat/>
    <w:rsid w:val="00b33f50"/>
    <w:rPr>
      <w:rFonts w:ascii="Aptos Display" w:hAnsi="Aptos Display" w:eastAsia="" w:cs="" w:asciiTheme="majorHAnsi" w:cstheme="majorBidi" w:eastAsiaTheme="majorEastAsia" w:hAnsiTheme="majorHAnsi"/>
      <w:spacing w:val="-10"/>
      <w:kern w:val="2"/>
      <w:sz w:val="56"/>
      <w:szCs w:val="56"/>
    </w:rPr>
  </w:style>
  <w:style w:type="character" w:styleId="SubttuloCar" w:customStyle="1">
    <w:name w:val="Subtítulo Car"/>
    <w:basedOn w:val="DefaultParagraphFont"/>
    <w:link w:val="Subtitle"/>
    <w:uiPriority w:val="11"/>
    <w:qFormat/>
    <w:rsid w:val="00b33f50"/>
    <w:rPr>
      <w:rFonts w:eastAsia="" w:cs="" w:cstheme="majorBidi" w:eastAsiaTheme="majorEastAsia"/>
      <w:color w:themeColor="text1" w:themeTint="a6" w:val="595959"/>
      <w:spacing w:val="15"/>
      <w:sz w:val="28"/>
      <w:szCs w:val="28"/>
    </w:rPr>
  </w:style>
  <w:style w:type="character" w:styleId="CitaCar" w:customStyle="1">
    <w:name w:val="Cita Car"/>
    <w:basedOn w:val="DefaultParagraphFont"/>
    <w:link w:val="Quote"/>
    <w:uiPriority w:val="29"/>
    <w:qFormat/>
    <w:rsid w:val="00b33f50"/>
    <w:rPr>
      <w:i/>
      <w:iCs/>
      <w:color w:themeColor="text1" w:themeTint="bf" w:val="404040"/>
    </w:rPr>
  </w:style>
  <w:style w:type="character" w:styleId="IntenseEmphasis">
    <w:name w:val="Intense Emphasis"/>
    <w:basedOn w:val="DefaultParagraphFont"/>
    <w:uiPriority w:val="21"/>
    <w:qFormat/>
    <w:rsid w:val="00b33f50"/>
    <w:rPr>
      <w:i/>
      <w:iCs/>
      <w:color w:themeColor="accent1" w:themeShade="bf" w:val="0F4761"/>
    </w:rPr>
  </w:style>
  <w:style w:type="character" w:styleId="CitadestacadaCar" w:customStyle="1">
    <w:name w:val="Cita destacada Car"/>
    <w:basedOn w:val="DefaultParagraphFont"/>
    <w:link w:val="IntenseQuote"/>
    <w:uiPriority w:val="30"/>
    <w:qFormat/>
    <w:rsid w:val="00b33f50"/>
    <w:rPr>
      <w:i/>
      <w:iCs/>
      <w:color w:themeColor="accent1" w:themeShade="bf" w:val="0F4761"/>
    </w:rPr>
  </w:style>
  <w:style w:type="character" w:styleId="IntenseReference">
    <w:name w:val="Intense Reference"/>
    <w:basedOn w:val="DefaultParagraphFont"/>
    <w:uiPriority w:val="32"/>
    <w:qFormat/>
    <w:rsid w:val="00b33f50"/>
    <w:rPr>
      <w:b/>
      <w:bCs/>
      <w:smallCaps/>
      <w:color w:themeColor="accent1" w:themeShade="bf" w:val="0F4761"/>
      <w:spacing w:val="5"/>
    </w:rPr>
  </w:style>
  <w:style w:type="character" w:styleId="LineNumber">
    <w:name w:val="line number"/>
    <w:basedOn w:val="DefaultParagraphFont"/>
    <w:uiPriority w:val="99"/>
    <w:semiHidden/>
    <w:unhideWhenUsed/>
    <w:rsid w:val="004e660d"/>
    <w:rPr/>
  </w:style>
  <w:style w:type="character" w:styleId="EncabezadoCar" w:customStyle="1">
    <w:name w:val="Encabezado Car"/>
    <w:basedOn w:val="DefaultParagraphFont"/>
    <w:link w:val="Header"/>
    <w:uiPriority w:val="99"/>
    <w:qFormat/>
    <w:rsid w:val="00d77b68"/>
    <w:rPr>
      <w:rFonts w:ascii="Aptos" w:hAnsi="Aptos" w:eastAsia="Aptos" w:cs="Aptos"/>
      <w:kern w:val="0"/>
      <w:lang w:val="en-US" w:eastAsia="es-AR"/>
      <w14:ligatures w14:val="none"/>
    </w:rPr>
  </w:style>
  <w:style w:type="character" w:styleId="PiedepginaCar" w:customStyle="1">
    <w:name w:val="Pie de página Car"/>
    <w:basedOn w:val="DefaultParagraphFont"/>
    <w:link w:val="Footer"/>
    <w:uiPriority w:val="99"/>
    <w:qFormat/>
    <w:rsid w:val="00d77b68"/>
    <w:rPr>
      <w:rFonts w:ascii="Aptos" w:hAnsi="Aptos" w:eastAsia="Aptos" w:cs="Aptos"/>
      <w:kern w:val="0"/>
      <w:lang w:val="en-US" w:eastAsia="es-AR"/>
      <w14:ligatures w14:val="none"/>
    </w:rPr>
  </w:style>
  <w:style w:type="paragraph" w:styleId="Heading">
    <w:name w:val="Heading"/>
    <w:basedOn w:val="Normal"/>
    <w:next w:val="BodyText"/>
    <w:qFormat/>
    <w:pPr>
      <w:keepNext w:val="true"/>
      <w:spacing w:before="240" w:after="120"/>
    </w:pPr>
    <w:rPr>
      <w:rFonts w:ascii="Liberation Sans" w:hAnsi="Liberation Sans" w:eastAsia="PingFang SC"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le">
    <w:name w:val="Title"/>
    <w:basedOn w:val="Normal"/>
    <w:next w:val="Normal"/>
    <w:link w:val="TtuloCar"/>
    <w:uiPriority w:val="10"/>
    <w:qFormat/>
    <w:rsid w:val="00b33f50"/>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lang w:val="es-AR" w:eastAsia="en-US"/>
      <w14:ligatures w14:val="standardContextual"/>
    </w:rPr>
  </w:style>
  <w:style w:type="paragraph" w:styleId="Subtitle">
    <w:name w:val="Subtitle"/>
    <w:basedOn w:val="Normal"/>
    <w:next w:val="Normal"/>
    <w:link w:val="SubttuloCar"/>
    <w:uiPriority w:val="11"/>
    <w:qFormat/>
    <w:rsid w:val="00b33f50"/>
    <w:pPr/>
    <w:rPr>
      <w:rFonts w:ascii="Aptos" w:hAnsi="Aptos" w:eastAsia="" w:cs="" w:asciiTheme="minorHAnsi" w:cstheme="majorBidi" w:eastAsiaTheme="majorEastAsia" w:hAnsiTheme="minorHAnsi"/>
      <w:color w:themeColor="text1" w:themeTint="a6" w:val="595959"/>
      <w:spacing w:val="15"/>
      <w:kern w:val="2"/>
      <w:sz w:val="28"/>
      <w:szCs w:val="28"/>
      <w:lang w:val="es-AR" w:eastAsia="en-US"/>
      <w14:ligatures w14:val="standardContextual"/>
    </w:rPr>
  </w:style>
  <w:style w:type="paragraph" w:styleId="Quote">
    <w:name w:val="Quote"/>
    <w:basedOn w:val="Normal"/>
    <w:next w:val="Normal"/>
    <w:link w:val="CitaCar"/>
    <w:uiPriority w:val="29"/>
    <w:qFormat/>
    <w:rsid w:val="00b33f50"/>
    <w:pPr>
      <w:spacing w:before="160" w:after="160"/>
      <w:jc w:val="center"/>
    </w:pPr>
    <w:rPr>
      <w:rFonts w:ascii="Aptos" w:hAnsi="Aptos" w:eastAsia="Aptos" w:cs="" w:asciiTheme="minorHAnsi" w:cstheme="minorBidi" w:eastAsiaTheme="minorHAnsi" w:hAnsiTheme="minorHAnsi"/>
      <w:i/>
      <w:iCs/>
      <w:color w:themeColor="text1" w:themeTint="bf" w:val="404040"/>
      <w:kern w:val="2"/>
      <w:lang w:val="es-AR" w:eastAsia="en-US"/>
      <w14:ligatures w14:val="standardContextual"/>
    </w:rPr>
  </w:style>
  <w:style w:type="paragraph" w:styleId="ListParagraph">
    <w:name w:val="List Paragraph"/>
    <w:basedOn w:val="Normal"/>
    <w:uiPriority w:val="34"/>
    <w:qFormat/>
    <w:rsid w:val="00b33f50"/>
    <w:pPr>
      <w:spacing w:before="0" w:after="160"/>
      <w:ind w:start="720"/>
      <w:contextualSpacing/>
    </w:pPr>
    <w:rPr>
      <w:rFonts w:ascii="Aptos" w:hAnsi="Aptos" w:eastAsia="Aptos" w:cs="" w:asciiTheme="minorHAnsi" w:cstheme="minorBidi" w:eastAsiaTheme="minorHAnsi" w:hAnsiTheme="minorHAnsi"/>
      <w:kern w:val="2"/>
      <w:lang w:val="es-AR" w:eastAsia="en-US"/>
      <w14:ligatures w14:val="standardContextual"/>
    </w:rPr>
  </w:style>
  <w:style w:type="paragraph" w:styleId="IntenseQuote">
    <w:name w:val="Intense Quote"/>
    <w:basedOn w:val="Normal"/>
    <w:next w:val="Normal"/>
    <w:link w:val="CitadestacadaCar"/>
    <w:uiPriority w:val="30"/>
    <w:qFormat/>
    <w:rsid w:val="00b33f50"/>
    <w:pPr>
      <w:pBdr>
        <w:top w:val="single" w:sz="4" w:space="10" w:color="0F4761" w:themeColor="accent1" w:themeShade="bf"/>
        <w:bottom w:val="single" w:sz="4" w:space="10" w:color="0F4761" w:themeColor="accent1" w:themeShade="bf"/>
      </w:pBdr>
      <w:spacing w:before="360" w:after="360"/>
      <w:ind w:start="864" w:end="864"/>
      <w:jc w:val="center"/>
    </w:pPr>
    <w:rPr>
      <w:rFonts w:ascii="Aptos" w:hAnsi="Aptos" w:eastAsia="Aptos" w:cs="" w:asciiTheme="minorHAnsi" w:cstheme="minorBidi" w:eastAsiaTheme="minorHAnsi" w:hAnsiTheme="minorHAnsi"/>
      <w:i/>
      <w:iCs/>
      <w:color w:themeColor="accent1" w:themeShade="bf" w:val="0F4761"/>
      <w:kern w:val="2"/>
      <w:lang w:val="es-AR" w:eastAsia="en-US"/>
      <w14:ligatures w14:val="standardContextual"/>
    </w:rPr>
  </w:style>
  <w:style w:type="paragraph" w:styleId="HeaderandFooter">
    <w:name w:val="Header and Footer"/>
    <w:basedOn w:val="Normal"/>
    <w:qFormat/>
    <w:pPr/>
    <w:rPr/>
  </w:style>
  <w:style w:type="paragraph" w:styleId="Header">
    <w:name w:val="header"/>
    <w:basedOn w:val="Normal"/>
    <w:link w:val="EncabezadoCar"/>
    <w:uiPriority w:val="99"/>
    <w:unhideWhenUsed/>
    <w:rsid w:val="00d77b68"/>
    <w:pPr>
      <w:tabs>
        <w:tab w:val="clear" w:pos="708"/>
        <w:tab w:val="center" w:pos="4252" w:leader="none"/>
        <w:tab w:val="right" w:pos="8504" w:leader="none"/>
      </w:tabs>
      <w:spacing w:lineRule="auto" w:line="240" w:before="0" w:after="0"/>
    </w:pPr>
    <w:rPr/>
  </w:style>
  <w:style w:type="paragraph" w:styleId="Footer">
    <w:name w:val="footer"/>
    <w:basedOn w:val="Normal"/>
    <w:link w:val="PiedepginaCar"/>
    <w:uiPriority w:val="99"/>
    <w:unhideWhenUsed/>
    <w:rsid w:val="00d77b68"/>
    <w:pPr>
      <w:tabs>
        <w:tab w:val="clear" w:pos="708"/>
        <w:tab w:val="center" w:pos="4252" w:leader="none"/>
        <w:tab w:val="right" w:pos="8504" w:leader="none"/>
      </w:tabs>
      <w:spacing w:lineRule="auto" w:line="240" w:before="0" w:after="0"/>
    </w:pPr>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ma de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28</TotalTime>
  <Application>LibreOffice/25.8.3.2$MacOSX_AARCH64 LibreOffice_project/8ca8d55c161d602844f5428fa4b58097424e324e</Application>
  <AppVersion>15.0000</AppVersion>
  <Pages>4</Pages>
  <Words>794</Words>
  <Characters>3713</Characters>
  <CharactersWithSpaces>4101</CharactersWithSpaces>
  <Paragraphs>487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2026-04-25T23:24:00Z</dcterms:created>
  <dc:creator>Andy Cadaillon</dc:creator>
  <dc:description/>
  <dc:language>es-ES</dc:language>
  <cp:lastModifiedBy>Leonardo Saravia</cp:lastModifiedBy>
  <dcterms:modified xsi:type="dcterms:W3CDTF">2026-04-27T19:38:43Z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